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酒钢集团甘肃宏兴宏宇新材料有限责任公司</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（主烧嘴\WRBG-7B JEXX02BOC21006）</w:t>
      </w:r>
    </w:p>
    <w:p>
      <w:pPr>
        <w:keepNext w:val="0"/>
        <w:keepLines w:val="0"/>
        <w:pageBreakBefore w:val="0"/>
        <w:widowControl w:val="0"/>
        <w:kinsoku/>
        <w:wordWrap/>
        <w:overflowPunct/>
        <w:topLinePunct w:val="0"/>
        <w:autoSpaceDE/>
        <w:autoSpaceDN/>
        <w:bidi w:val="0"/>
        <w:adjustRightInd/>
        <w:snapToGrid w:val="0"/>
        <w:spacing w:line="240" w:lineRule="auto"/>
        <w:ind w:right="0" w:rightChars="0"/>
        <w:jc w:val="center"/>
        <w:textAlignment w:val="auto"/>
        <w:rPr>
          <w:rFonts w:hint="eastAsia" w:ascii="方正小标宋简体" w:hAnsi="方正小标宋简体" w:eastAsia="方正小标宋简体" w:cs="方正小标宋简体"/>
          <w:b w:val="0"/>
          <w:bCs w:val="0"/>
          <w:color w:val="000000"/>
          <w:sz w:val="44"/>
          <w:szCs w:val="48"/>
          <w:lang w:eastAsia="zh-CN"/>
        </w:rPr>
      </w:pPr>
      <w:r>
        <w:rPr>
          <w:rFonts w:hint="eastAsia" w:ascii="方正小标宋简体" w:hAnsi="方正小标宋简体" w:eastAsia="方正小标宋简体" w:cs="方正小标宋简体"/>
          <w:b w:val="0"/>
          <w:bCs w:val="0"/>
          <w:color w:val="000000"/>
          <w:sz w:val="44"/>
          <w:szCs w:val="48"/>
          <w:lang w:eastAsia="zh-CN"/>
        </w:rPr>
        <w:t>采</w:t>
      </w:r>
      <w:r>
        <w:rPr>
          <w:rFonts w:hint="eastAsia" w:ascii="方正小标宋简体" w:hAnsi="方正小标宋简体" w:eastAsia="方正小标宋简体" w:cs="方正小标宋简体"/>
          <w:b w:val="0"/>
          <w:bCs w:val="0"/>
          <w:color w:val="000000"/>
          <w:sz w:val="44"/>
          <w:szCs w:val="48"/>
          <w:lang w:val="en-US" w:eastAsia="zh-CN"/>
        </w:rPr>
        <w:t xml:space="preserve">  </w:t>
      </w:r>
      <w:r>
        <w:rPr>
          <w:rFonts w:hint="eastAsia" w:ascii="方正小标宋简体" w:hAnsi="方正小标宋简体" w:eastAsia="方正小标宋简体" w:cs="方正小标宋简体"/>
          <w:b w:val="0"/>
          <w:bCs w:val="0"/>
          <w:color w:val="000000"/>
          <w:sz w:val="44"/>
          <w:szCs w:val="48"/>
          <w:lang w:eastAsia="zh-CN"/>
        </w:rPr>
        <w:t>购</w:t>
      </w:r>
    </w:p>
    <w:p>
      <w:pPr>
        <w:pStyle w:val="4"/>
        <w:rPr>
          <w:rFonts w:hint="eastAsia"/>
          <w:lang w:eastAsia="zh-CN"/>
        </w:rPr>
      </w:pP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技</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术</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规</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格</w:t>
      </w:r>
    </w:p>
    <w:p>
      <w:pPr>
        <w:keepNext w:val="0"/>
        <w:keepLines w:val="0"/>
        <w:pageBreakBefore w:val="0"/>
        <w:widowControl w:val="0"/>
        <w:kinsoku/>
        <w:wordWrap/>
        <w:overflowPunct/>
        <w:topLinePunct w:val="0"/>
        <w:autoSpaceDE/>
        <w:autoSpaceDN/>
        <w:bidi w:val="0"/>
        <w:adjustRightInd/>
        <w:jc w:val="center"/>
        <w:textAlignment w:val="auto"/>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书</w:t>
      </w:r>
    </w:p>
    <w:p>
      <w:pPr>
        <w:jc w:val="center"/>
        <w:rPr>
          <w:color w:val="000000"/>
          <w:sz w:val="44"/>
        </w:rPr>
      </w:pPr>
    </w:p>
    <w:p>
      <w:pPr>
        <w:jc w:val="center"/>
        <w:rPr>
          <w:color w:val="000000"/>
          <w:sz w:val="44"/>
        </w:rPr>
      </w:pPr>
    </w:p>
    <w:p>
      <w:pPr>
        <w:jc w:val="center"/>
        <w:rPr>
          <w:color w:val="000000"/>
          <w:sz w:val="44"/>
        </w:rPr>
      </w:pP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color w:val="000000"/>
          <w:sz w:val="32"/>
          <w:szCs w:val="32"/>
        </w:rPr>
        <w:t>甲    方：</w:t>
      </w:r>
      <w:r>
        <w:rPr>
          <w:rFonts w:hint="eastAsia" w:ascii="仿宋_GB2312" w:hAnsi="仿宋_GB2312" w:eastAsia="仿宋_GB2312" w:cs="仿宋_GB2312"/>
          <w:color w:val="000000"/>
          <w:sz w:val="32"/>
          <w:szCs w:val="32"/>
        </w:rPr>
        <w:t>酒钢集团</w:t>
      </w:r>
      <w:r>
        <w:rPr>
          <w:rFonts w:hint="eastAsia" w:ascii="仿宋_GB2312" w:hAnsi="仿宋_GB2312" w:eastAsia="仿宋_GB2312" w:cs="仿宋_GB2312"/>
          <w:color w:val="000000"/>
          <w:sz w:val="32"/>
          <w:szCs w:val="32"/>
          <w:lang w:eastAsia="zh-CN"/>
        </w:rPr>
        <w:t>甘肃宏兴宏宇新材料有限责任公司</w:t>
      </w:r>
    </w:p>
    <w:p>
      <w:pPr>
        <w:keepNext w:val="0"/>
        <w:keepLines w:val="0"/>
        <w:pageBreakBefore w:val="0"/>
        <w:widowControl w:val="0"/>
        <w:kinsoku/>
        <w:wordWrap/>
        <w:overflowPunct/>
        <w:topLinePunct w:val="0"/>
        <w:autoSpaceDE/>
        <w:autoSpaceDN/>
        <w:bidi w:val="0"/>
        <w:adjustRightInd/>
        <w:snapToGrid/>
        <w:spacing w:line="720" w:lineRule="auto"/>
        <w:ind w:firstLine="643"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b/>
          <w:color w:val="000000"/>
          <w:sz w:val="32"/>
          <w:szCs w:val="32"/>
        </w:rPr>
        <w:t>乙    方：</w:t>
      </w:r>
      <w:r>
        <w:rPr>
          <w:rFonts w:hint="eastAsia" w:ascii="仿宋_GB2312" w:hAnsi="仿宋_GB2312" w:eastAsia="仿宋_GB2312" w:cs="仿宋_GB2312"/>
          <w:color w:val="FF0000"/>
          <w:sz w:val="32"/>
          <w:szCs w:val="32"/>
        </w:rPr>
        <w:t xml:space="preserve"> </w:t>
      </w:r>
    </w:p>
    <w:p>
      <w:pPr>
        <w:tabs>
          <w:tab w:val="left" w:pos="540"/>
        </w:tabs>
        <w:spacing w:line="360" w:lineRule="auto"/>
        <w:rPr>
          <w:rFonts w:hint="eastAsia" w:ascii="宋体" w:hAnsi="宋体"/>
          <w:b/>
          <w:color w:val="000000"/>
          <w:sz w:val="28"/>
          <w:szCs w:val="28"/>
        </w:rPr>
      </w:pPr>
    </w:p>
    <w:p>
      <w:pPr>
        <w:tabs>
          <w:tab w:val="left" w:pos="540"/>
        </w:tabs>
        <w:spacing w:line="360" w:lineRule="auto"/>
        <w:jc w:val="center"/>
        <w:rPr>
          <w:rFonts w:ascii="宋体" w:hAnsi="宋体"/>
          <w:b/>
          <w:color w:val="000000"/>
          <w:sz w:val="28"/>
          <w:szCs w:val="28"/>
        </w:rPr>
      </w:pPr>
      <w:r>
        <w:rPr>
          <w:rFonts w:hint="eastAsia" w:ascii="仿宋_GB2312" w:hAnsi="仿宋_GB2312" w:eastAsia="仿宋_GB2312" w:cs="仿宋_GB2312"/>
          <w:color w:val="000000"/>
          <w:sz w:val="32"/>
          <w:szCs w:val="20"/>
        </w:rPr>
        <w:t>20</w:t>
      </w:r>
      <w:r>
        <w:rPr>
          <w:rFonts w:hint="eastAsia" w:ascii="仿宋_GB2312" w:hAnsi="仿宋_GB2312" w:eastAsia="仿宋_GB2312" w:cs="仿宋_GB2312"/>
          <w:color w:val="000000"/>
          <w:sz w:val="32"/>
          <w:szCs w:val="20"/>
          <w:lang w:val="en-US" w:eastAsia="zh-CN"/>
        </w:rPr>
        <w:t>25</w:t>
      </w:r>
      <w:r>
        <w:rPr>
          <w:rFonts w:hint="eastAsia" w:ascii="仿宋_GB2312" w:hAnsi="仿宋_GB2312" w:eastAsia="仿宋_GB2312" w:cs="仿宋_GB2312"/>
          <w:color w:val="000000"/>
          <w:sz w:val="32"/>
          <w:szCs w:val="20"/>
        </w:rPr>
        <w:t>年   月    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rPr>
        <w:sectPr>
          <w:headerReference r:id="rId3" w:type="default"/>
          <w:footerReference r:id="rId4" w:type="default"/>
          <w:pgSz w:w="11906" w:h="16838"/>
          <w:pgMar w:top="1417" w:right="1417" w:bottom="1417" w:left="1417" w:header="851" w:footer="992" w:gutter="0"/>
          <w:cols w:space="720" w:num="1"/>
          <w:docGrid w:type="lines" w:linePitch="312" w:charSpace="0"/>
        </w:sectPr>
      </w:pP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经协商，</w:t>
      </w:r>
      <w:r>
        <w:rPr>
          <w:rFonts w:hint="eastAsia" w:ascii="宋体" w:hAnsi="宋体" w:cs="宋体"/>
          <w:szCs w:val="21"/>
          <w:lang w:val="en-GB" w:eastAsia="zh-CN"/>
        </w:rPr>
        <w:t>甲乙</w:t>
      </w:r>
      <w:r>
        <w:rPr>
          <w:rFonts w:hint="eastAsia" w:ascii="宋体" w:hAnsi="宋体" w:cs="宋体"/>
          <w:szCs w:val="21"/>
          <w:lang w:val="en-GB"/>
        </w:rPr>
        <w:t>双方</w:t>
      </w:r>
      <w:r>
        <w:rPr>
          <w:rFonts w:hint="eastAsia" w:ascii="宋体" w:hAnsi="宋体" w:cs="宋体"/>
          <w:szCs w:val="21"/>
          <w:lang w:val="en-GB" w:eastAsia="zh-CN"/>
        </w:rPr>
        <w:t>就</w:t>
      </w:r>
      <w:r>
        <w:rPr>
          <w:rFonts w:hint="eastAsia" w:ascii="宋体" w:hAnsi="宋体" w:cs="宋体"/>
          <w:szCs w:val="21"/>
          <w:lang w:val="en-US" w:eastAsia="zh-CN"/>
        </w:rPr>
        <w:t>镀锌1#线设备升级改造及产品结构调整项目主烧嘴采购</w:t>
      </w:r>
      <w:r>
        <w:rPr>
          <w:rFonts w:hint="eastAsia" w:ascii="宋体" w:hAnsi="宋体" w:cs="宋体"/>
          <w:szCs w:val="21"/>
          <w:lang w:val="en-GB"/>
        </w:rPr>
        <w:t>技术</w:t>
      </w:r>
      <w:r>
        <w:rPr>
          <w:rFonts w:hint="eastAsia" w:ascii="宋体" w:hAnsi="宋体" w:cs="宋体"/>
          <w:szCs w:val="21"/>
          <w:lang w:val="en-GB" w:eastAsia="zh-CN"/>
        </w:rPr>
        <w:t>规格书</w:t>
      </w:r>
      <w:r>
        <w:rPr>
          <w:rFonts w:hint="eastAsia" w:ascii="宋体" w:hAnsi="宋体" w:cs="宋体"/>
          <w:szCs w:val="21"/>
          <w:lang w:val="en-GB"/>
        </w:rPr>
        <w:t>达成如下</w:t>
      </w:r>
      <w:r>
        <w:rPr>
          <w:rFonts w:hint="eastAsia" w:ascii="宋体" w:hAnsi="宋体" w:cs="宋体"/>
          <w:szCs w:val="21"/>
          <w:lang w:val="en-GB" w:eastAsia="zh-CN"/>
        </w:rPr>
        <w:t>要求</w:t>
      </w:r>
      <w:r>
        <w:rPr>
          <w:rFonts w:hint="eastAsia" w:ascii="宋体" w:hAnsi="宋体" w:cs="宋体"/>
          <w:szCs w:val="21"/>
          <w:lang w:val="en-GB"/>
        </w:rPr>
        <w:t>：</w:t>
      </w:r>
    </w:p>
    <w:p>
      <w:pPr>
        <w:spacing w:line="360" w:lineRule="auto"/>
        <w:ind w:firstLine="422" w:firstLineChars="200"/>
        <w:rPr>
          <w:rFonts w:hint="eastAsia" w:ascii="宋体" w:hAnsi="宋体" w:cs="宋体"/>
          <w:szCs w:val="21"/>
        </w:rPr>
      </w:pPr>
      <w:r>
        <w:rPr>
          <w:rFonts w:hint="eastAsia" w:ascii="宋体" w:hAnsi="宋体" w:cs="宋体"/>
          <w:b/>
          <w:szCs w:val="21"/>
        </w:rPr>
        <w:t>一  总则</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本技术</w:t>
      </w:r>
      <w:r>
        <w:rPr>
          <w:rFonts w:hint="eastAsia" w:ascii="宋体" w:hAnsi="宋体" w:cs="宋体"/>
          <w:szCs w:val="21"/>
          <w:lang w:val="en-GB" w:eastAsia="zh-CN"/>
        </w:rPr>
        <w:t>规格书</w:t>
      </w:r>
      <w:r>
        <w:rPr>
          <w:rFonts w:hint="eastAsia" w:ascii="宋体" w:hAnsi="宋体" w:cs="宋体"/>
          <w:szCs w:val="21"/>
          <w:lang w:val="en-GB"/>
        </w:rPr>
        <w:t>作为甲方设备订货合同的附件，与订货合同同时生效，具有同等法律效力。合同执行期间双方再协商形成的补充协议和追加条款也具有同等法律效力。</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1.1</w:t>
      </w:r>
      <w:r>
        <w:rPr>
          <w:rFonts w:hint="eastAsia" w:ascii="宋体" w:hAnsi="宋体" w:cs="宋体"/>
          <w:szCs w:val="21"/>
          <w:lang w:val="en-GB"/>
        </w:rPr>
        <w:tab/>
      </w:r>
      <w:r>
        <w:rPr>
          <w:rFonts w:hint="eastAsia" w:ascii="宋体" w:hAnsi="宋体" w:cs="宋体"/>
          <w:szCs w:val="21"/>
          <w:lang w:val="en-GB"/>
        </w:rPr>
        <w:t xml:space="preserve"> 本</w:t>
      </w:r>
      <w:r>
        <w:rPr>
          <w:rFonts w:hint="eastAsia" w:ascii="宋体" w:hAnsi="宋体" w:cs="宋体"/>
          <w:szCs w:val="21"/>
          <w:lang w:val="en-GB" w:eastAsia="zh-CN"/>
        </w:rPr>
        <w:t>技术规格书</w:t>
      </w:r>
      <w:r>
        <w:rPr>
          <w:rFonts w:hint="eastAsia" w:ascii="宋体" w:hAnsi="宋体" w:cs="宋体"/>
          <w:szCs w:val="21"/>
          <w:lang w:val="en-GB"/>
        </w:rPr>
        <w:t>适用于酒钢集团</w:t>
      </w:r>
      <w:r>
        <w:rPr>
          <w:rFonts w:hint="eastAsia" w:ascii="宋体" w:hAnsi="宋体" w:cs="宋体"/>
          <w:szCs w:val="21"/>
        </w:rPr>
        <w:t>股份有限公司宏兴宏宇</w:t>
      </w:r>
      <w:r>
        <w:rPr>
          <w:rFonts w:hint="eastAsia" w:ascii="宋体" w:hAnsi="宋体" w:cs="宋体"/>
          <w:szCs w:val="21"/>
          <w:lang w:val="en-US" w:eastAsia="zh-CN"/>
        </w:rPr>
        <w:t>镀锌1#线设备升级改造及产品结构调整项目主烧嘴</w:t>
      </w:r>
      <w:r>
        <w:rPr>
          <w:rFonts w:hint="eastAsia" w:ascii="宋体" w:hAnsi="宋体" w:cs="宋体"/>
          <w:szCs w:val="21"/>
          <w:lang w:val="en-GB"/>
        </w:rPr>
        <w:t>的技术要求。</w:t>
      </w:r>
      <w:r>
        <w:rPr>
          <w:rFonts w:hint="eastAsia" w:ascii="宋体" w:hAnsi="宋体" w:cs="宋体"/>
          <w:szCs w:val="21"/>
          <w:lang w:val="en-GB" w:eastAsia="zh-CN"/>
        </w:rPr>
        <w:t>技术规格书</w:t>
      </w:r>
      <w:r>
        <w:rPr>
          <w:rFonts w:hint="eastAsia" w:ascii="宋体" w:hAnsi="宋体" w:cs="宋体"/>
          <w:szCs w:val="21"/>
          <w:lang w:val="en-GB"/>
        </w:rPr>
        <w:t>所提出的是最低标准的技术要求，并未对一切技术细节做出规定，也未充分引述有关标准和规范的条文，乙方应保证提供符合有关标准和技术文件的优质产品。</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1.2</w:t>
      </w:r>
      <w:r>
        <w:rPr>
          <w:rFonts w:hint="eastAsia" w:ascii="宋体" w:hAnsi="宋体" w:cs="宋体"/>
          <w:szCs w:val="21"/>
          <w:lang w:val="en-GB"/>
        </w:rPr>
        <w:tab/>
      </w:r>
      <w:r>
        <w:rPr>
          <w:rFonts w:hint="eastAsia" w:ascii="宋体" w:hAnsi="宋体" w:cs="宋体"/>
          <w:szCs w:val="21"/>
          <w:lang w:val="en-GB"/>
        </w:rPr>
        <w:t xml:space="preserve"> 乙方提供的设备必须具有国内同行业近几年内的先进制造水平，采用先进工艺，合格材料，成熟的技术或专利技术。</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1.3</w:t>
      </w:r>
      <w:r>
        <w:rPr>
          <w:rFonts w:hint="eastAsia" w:ascii="宋体" w:hAnsi="宋体" w:cs="宋体"/>
          <w:szCs w:val="21"/>
          <w:lang w:val="en-GB"/>
        </w:rPr>
        <w:tab/>
      </w:r>
      <w:r>
        <w:rPr>
          <w:rFonts w:hint="eastAsia" w:ascii="宋体" w:hAnsi="宋体" w:cs="宋体"/>
          <w:szCs w:val="21"/>
          <w:lang w:val="en-GB"/>
        </w:rPr>
        <w:t xml:space="preserve"> 乙方提供的设备必须是可靠产品，能够确保产品满足生产现场的工作状况。</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1.4</w:t>
      </w:r>
      <w:r>
        <w:rPr>
          <w:rFonts w:hint="eastAsia" w:ascii="宋体" w:hAnsi="宋体" w:cs="宋体"/>
          <w:szCs w:val="21"/>
          <w:lang w:val="en-GB"/>
        </w:rPr>
        <w:tab/>
      </w:r>
      <w:r>
        <w:rPr>
          <w:rFonts w:hint="eastAsia" w:ascii="宋体" w:hAnsi="宋体" w:cs="宋体"/>
          <w:szCs w:val="21"/>
          <w:lang w:val="en-GB"/>
        </w:rPr>
        <w:t xml:space="preserve"> 乙方提供货物的制造，材料的选择，都应按照国内外通用的现行标准和相应的技术规范执行，而这些标准和技术规范应为合同签字日为止最新公布发文的标准和技术规范。</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1.5</w:t>
      </w:r>
      <w:r>
        <w:rPr>
          <w:rFonts w:hint="eastAsia" w:ascii="宋体" w:hAnsi="宋体" w:cs="宋体"/>
          <w:szCs w:val="21"/>
          <w:lang w:val="en-GB"/>
        </w:rPr>
        <w:tab/>
      </w:r>
      <w:r>
        <w:rPr>
          <w:rFonts w:hint="eastAsia" w:ascii="宋体" w:hAnsi="宋体" w:cs="宋体"/>
          <w:szCs w:val="21"/>
          <w:lang w:val="en-GB"/>
        </w:rPr>
        <w:t xml:space="preserve"> 乙方在合同货物制造中，发生侵犯专利的行为时其侵权责任与甲方无关。</w:t>
      </w:r>
    </w:p>
    <w:p>
      <w:pPr>
        <w:spacing w:line="360" w:lineRule="auto"/>
        <w:ind w:firstLine="420" w:firstLineChars="200"/>
        <w:rPr>
          <w:rFonts w:hint="eastAsia" w:ascii="宋体" w:hAnsi="宋体" w:cs="宋体"/>
          <w:szCs w:val="21"/>
          <w:lang w:val="en-GB"/>
        </w:rPr>
      </w:pPr>
      <w:r>
        <w:rPr>
          <w:rFonts w:hint="eastAsia" w:ascii="宋体" w:hAnsi="宋体" w:cs="宋体"/>
          <w:szCs w:val="21"/>
          <w:lang w:val="en-GB"/>
        </w:rPr>
        <w:t xml:space="preserve">1.6  </w:t>
      </w:r>
      <w:r>
        <w:rPr>
          <w:rFonts w:hint="eastAsia" w:ascii="宋体" w:hAnsi="宋体" w:cs="宋体"/>
          <w:szCs w:val="21"/>
          <w:highlight w:val="none"/>
          <w:lang w:val="en-GB"/>
        </w:rPr>
        <w:t>供货范围的设备涉及原设计方的专有技术，乙方提供的设备必须是能够与在线件完全互换使用、达到在线件设备的技术水平。</w:t>
      </w:r>
    </w:p>
    <w:p>
      <w:pPr>
        <w:spacing w:line="360" w:lineRule="auto"/>
        <w:ind w:firstLine="422" w:firstLineChars="200"/>
        <w:rPr>
          <w:rFonts w:hint="eastAsia" w:ascii="宋体" w:hAnsi="宋体" w:cs="宋体"/>
          <w:b/>
          <w:szCs w:val="21"/>
        </w:rPr>
      </w:pPr>
      <w:r>
        <w:rPr>
          <w:rFonts w:hint="eastAsia" w:ascii="宋体" w:hAnsi="宋体" w:cs="宋体"/>
          <w:b/>
          <w:szCs w:val="21"/>
          <w:lang w:val="en-US" w:eastAsia="zh-CN"/>
        </w:rPr>
        <w:t>二、</w:t>
      </w:r>
      <w:r>
        <w:rPr>
          <w:rFonts w:hint="eastAsia" w:ascii="宋体" w:hAnsi="宋体" w:cs="宋体"/>
          <w:b/>
          <w:szCs w:val="21"/>
        </w:rPr>
        <w:t>技术规格及技术要求</w:t>
      </w:r>
    </w:p>
    <w:tbl>
      <w:tblPr>
        <w:tblStyle w:val="11"/>
        <w:tblpPr w:leftFromText="180" w:rightFromText="180" w:vertAnchor="text" w:horzAnchor="page" w:tblpXSpec="center" w:tblpY="126"/>
        <w:tblOverlap w:val="never"/>
        <w:tblW w:w="8537" w:type="dxa"/>
        <w:jc w:val="center"/>
        <w:tblInd w:w="0" w:type="dxa"/>
        <w:tblLayout w:type="fixed"/>
        <w:tblCellMar>
          <w:top w:w="15" w:type="dxa"/>
          <w:left w:w="15" w:type="dxa"/>
          <w:bottom w:w="15" w:type="dxa"/>
          <w:right w:w="15" w:type="dxa"/>
        </w:tblCellMar>
      </w:tblPr>
      <w:tblGrid>
        <w:gridCol w:w="637"/>
        <w:gridCol w:w="1038"/>
        <w:gridCol w:w="2962"/>
        <w:gridCol w:w="488"/>
        <w:gridCol w:w="575"/>
        <w:gridCol w:w="1037"/>
        <w:gridCol w:w="1800"/>
      </w:tblGrid>
      <w:tr>
        <w:tblPrEx>
          <w:tblLayout w:type="fixed"/>
          <w:tblCellMar>
            <w:top w:w="15" w:type="dxa"/>
            <w:left w:w="15" w:type="dxa"/>
            <w:bottom w:w="15" w:type="dxa"/>
            <w:right w:w="15" w:type="dxa"/>
          </w:tblCellMar>
        </w:tblPrEx>
        <w:trPr>
          <w:trHeight w:val="657" w:hRule="atLeast"/>
          <w:jc w:val="center"/>
        </w:trPr>
        <w:tc>
          <w:tcPr>
            <w:tcW w:w="63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序号</w:t>
            </w:r>
          </w:p>
        </w:tc>
        <w:tc>
          <w:tcPr>
            <w:tcW w:w="10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编码</w:t>
            </w:r>
          </w:p>
        </w:tc>
        <w:tc>
          <w:tcPr>
            <w:tcW w:w="2962"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物料描述</w:t>
            </w:r>
          </w:p>
        </w:tc>
        <w:tc>
          <w:tcPr>
            <w:tcW w:w="488"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单位</w:t>
            </w:r>
          </w:p>
        </w:tc>
        <w:tc>
          <w:tcPr>
            <w:tcW w:w="575"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数量</w:t>
            </w:r>
          </w:p>
        </w:tc>
        <w:tc>
          <w:tcPr>
            <w:tcW w:w="1037"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交货期</w:t>
            </w:r>
          </w:p>
        </w:tc>
        <w:tc>
          <w:tcPr>
            <w:tcW w:w="1800"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rPr>
            </w:pPr>
            <w:r>
              <w:rPr>
                <w:rFonts w:hint="eastAsia" w:ascii="宋体" w:hAnsi="宋体" w:eastAsia="宋体" w:cs="宋体"/>
                <w:sz w:val="20"/>
                <w:szCs w:val="20"/>
                <w:lang w:eastAsia="zh-CN"/>
              </w:rPr>
              <w:t>备注</w:t>
            </w:r>
          </w:p>
        </w:tc>
      </w:tr>
      <w:tr>
        <w:tblPrEx>
          <w:tblLayout w:type="fixed"/>
          <w:tblCellMar>
            <w:top w:w="15" w:type="dxa"/>
            <w:left w:w="15" w:type="dxa"/>
            <w:bottom w:w="15" w:type="dxa"/>
            <w:right w:w="15" w:type="dxa"/>
          </w:tblCellMar>
        </w:tblPrEx>
        <w:trPr>
          <w:trHeight w:val="1305" w:hRule="atLeast"/>
          <w:jc w:val="center"/>
        </w:trPr>
        <w:tc>
          <w:tcPr>
            <w:tcW w:w="637"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1038"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70071555</w:t>
            </w:r>
          </w:p>
        </w:tc>
        <w:tc>
          <w:tcPr>
            <w:tcW w:w="2962"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主烧嘴\WRBG-7B JEXX02BOC21006</w:t>
            </w:r>
          </w:p>
        </w:tc>
        <w:tc>
          <w:tcPr>
            <w:tcW w:w="488"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cs="宋体"/>
                <w:sz w:val="20"/>
                <w:szCs w:val="20"/>
                <w:lang w:eastAsia="zh-CN"/>
              </w:rPr>
              <w:t>套</w:t>
            </w:r>
          </w:p>
        </w:tc>
        <w:tc>
          <w:tcPr>
            <w:tcW w:w="575"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default" w:ascii="宋体" w:hAnsi="宋体" w:eastAsia="宋体" w:cs="宋体"/>
                <w:sz w:val="20"/>
                <w:szCs w:val="20"/>
                <w:lang w:val="en-US" w:eastAsia="zh-CN"/>
              </w:rPr>
            </w:pPr>
            <w:r>
              <w:rPr>
                <w:rFonts w:hint="default" w:ascii="宋体" w:hAnsi="宋体" w:cs="宋体"/>
                <w:sz w:val="20"/>
                <w:szCs w:val="20"/>
                <w:lang w:val="en-US" w:eastAsia="zh-CN"/>
              </w:rPr>
              <w:t>5</w:t>
            </w:r>
          </w:p>
        </w:tc>
        <w:tc>
          <w:tcPr>
            <w:tcW w:w="1037"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default" w:ascii="宋体" w:hAnsi="宋体" w:eastAsia="宋体" w:cs="宋体"/>
                <w:sz w:val="20"/>
                <w:szCs w:val="20"/>
                <w:lang w:val="en-US" w:eastAsia="zh-CN"/>
              </w:rPr>
            </w:pPr>
            <w:r>
              <w:rPr>
                <w:rFonts w:hint="eastAsia" w:ascii="宋体" w:hAnsi="宋体" w:eastAsia="宋体" w:cs="宋体"/>
                <w:i w:val="0"/>
                <w:iCs w:val="0"/>
                <w:color w:val="000000"/>
                <w:kern w:val="0"/>
                <w:sz w:val="20"/>
                <w:szCs w:val="20"/>
                <w:u w:val="none"/>
                <w:lang w:val="en-US" w:eastAsia="zh-CN" w:bidi="ar"/>
              </w:rPr>
              <w:t>2026.</w:t>
            </w:r>
            <w:r>
              <w:rPr>
                <w:rFonts w:hint="default" w:ascii="宋体" w:hAnsi="宋体" w:cs="宋体"/>
                <w:i w:val="0"/>
                <w:iCs w:val="0"/>
                <w:color w:val="000000"/>
                <w:kern w:val="0"/>
                <w:sz w:val="20"/>
                <w:szCs w:val="20"/>
                <w:u w:val="none"/>
                <w:lang w:val="en-US" w:eastAsia="zh-CN" w:bidi="ar"/>
              </w:rPr>
              <w:t>6.30</w:t>
            </w:r>
          </w:p>
        </w:tc>
        <w:tc>
          <w:tcPr>
            <w:tcW w:w="1800"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包含配套点火烧嘴、垫片、活接、孔板、孔板垫，需组装好</w:t>
            </w:r>
          </w:p>
        </w:tc>
      </w:tr>
    </w:tbl>
    <w:p>
      <w:pPr>
        <w:spacing w:line="360" w:lineRule="auto"/>
        <w:rPr>
          <w:rFonts w:hint="eastAsia" w:ascii="宋体" w:hAnsi="宋体" w:cs="宋体"/>
          <w:szCs w:val="21"/>
          <w:lang w:val="en-US" w:eastAsia="zh-CN"/>
        </w:rPr>
      </w:pP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1.安装环境</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1.1 安装地点：宏宇新材料公司镀锌作业区辐射管装置</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1.2  主要技术参数</w:t>
      </w:r>
    </w:p>
    <w:p>
      <w:pPr>
        <w:spacing w:line="360" w:lineRule="auto"/>
        <w:ind w:firstLine="420" w:firstLineChars="200"/>
        <w:rPr>
          <w:rFonts w:hint="eastAsia" w:ascii="宋体" w:hAnsi="宋体" w:cs="宋体"/>
          <w:szCs w:val="21"/>
          <w:lang w:val="en-GB" w:eastAsia="zh-CN"/>
        </w:rPr>
      </w:pPr>
      <w:r>
        <w:rPr>
          <w:rFonts w:hint="eastAsia" w:ascii="宋体" w:hAnsi="宋体" w:cs="宋体"/>
          <w:szCs w:val="21"/>
          <w:lang w:val="en-GB"/>
        </w:rPr>
        <w:t>1）</w:t>
      </w:r>
      <w:r>
        <w:rPr>
          <w:rFonts w:hint="eastAsia" w:ascii="宋体" w:hAnsi="宋体" w:cs="宋体"/>
          <w:szCs w:val="21"/>
          <w:lang w:val="en-GB" w:eastAsia="zh-CN"/>
        </w:rPr>
        <w:t>主烧嘴参数：</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型号：</w:t>
      </w:r>
      <w:r>
        <w:rPr>
          <w:rFonts w:hint="eastAsia" w:ascii="宋体" w:hAnsi="宋体" w:eastAsia="宋体" w:cs="宋体"/>
          <w:sz w:val="21"/>
          <w:szCs w:val="21"/>
          <w:lang w:eastAsia="zh-CN"/>
        </w:rPr>
        <w:t>WRBG-7B</w:t>
      </w:r>
      <w:r>
        <w:rPr>
          <w:rFonts w:hint="eastAsia" w:ascii="宋体" w:hAnsi="宋体" w:cs="宋体"/>
          <w:szCs w:val="21"/>
          <w:lang w:val="en-US" w:eastAsia="zh-CN"/>
        </w:rPr>
        <w:t>；</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图号:</w:t>
      </w:r>
      <w:r>
        <w:rPr>
          <w:rFonts w:hint="eastAsia" w:ascii="宋体" w:hAnsi="宋体" w:eastAsia="宋体" w:cs="宋体"/>
          <w:sz w:val="21"/>
          <w:szCs w:val="21"/>
          <w:lang w:eastAsia="zh-CN"/>
        </w:rPr>
        <w:t>JEXX02BOC21006</w:t>
      </w:r>
      <w:r>
        <w:rPr>
          <w:rFonts w:hint="eastAsia" w:ascii="宋体" w:hAnsi="宋体" w:cs="宋体"/>
          <w:szCs w:val="21"/>
          <w:lang w:val="en-US" w:eastAsia="zh-CN"/>
        </w:rPr>
        <w:t>；</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适用介质：混合煤气</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适用燃气介质：8000±200KJ/Nm3；</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烧嘴最大功率：180KW；</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使用最高炉温：950℃；</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具体尺寸参数详见图纸</w:t>
      </w:r>
      <w:r>
        <w:rPr>
          <w:rFonts w:hint="eastAsia" w:ascii="宋体" w:hAnsi="宋体" w:eastAsia="宋体" w:cs="宋体"/>
          <w:sz w:val="21"/>
          <w:szCs w:val="21"/>
          <w:lang w:eastAsia="zh-CN"/>
        </w:rPr>
        <w:t>JEXX02BOC21006</w:t>
      </w:r>
      <w:r>
        <w:rPr>
          <w:rFonts w:hint="eastAsia" w:ascii="宋体" w:hAnsi="宋体" w:cs="宋体"/>
          <w:szCs w:val="21"/>
          <w:lang w:val="en-US" w:eastAsia="zh-CN"/>
        </w:rPr>
        <w:t>。</w:t>
      </w:r>
    </w:p>
    <w:p>
      <w:pPr>
        <w:spacing w:line="360" w:lineRule="auto"/>
        <w:ind w:firstLine="420" w:firstLineChars="200"/>
        <w:rPr>
          <w:rFonts w:hint="eastAsia" w:ascii="宋体" w:hAnsi="宋体" w:eastAsia="宋体" w:cs="宋体"/>
          <w:szCs w:val="21"/>
          <w:lang w:val="en-US" w:eastAsia="zh-CN"/>
        </w:rPr>
      </w:pPr>
      <w:r>
        <w:rPr>
          <w:rFonts w:hint="eastAsia" w:ascii="宋体" w:hAnsi="宋体" w:cs="宋体"/>
          <w:szCs w:val="21"/>
          <w:lang w:val="en-US" w:eastAsia="zh-CN"/>
        </w:rPr>
        <w:t>2）其他参数要求</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新采购主烧嘴法兰、螺栓孔必须与现场匹配，主烧嘴的法兰上的混合煤气必须与现场匹配。</w:t>
      </w:r>
    </w:p>
    <w:p>
      <w:pPr>
        <w:spacing w:line="360" w:lineRule="auto"/>
        <w:ind w:firstLine="420" w:firstLineChars="200"/>
        <w:rPr>
          <w:rFonts w:hint="default" w:ascii="楷体" w:hAnsi="楷体" w:eastAsia="楷体"/>
          <w:lang w:val="en-US" w:eastAsia="zh-CN"/>
        </w:rPr>
      </w:pPr>
      <w:r>
        <w:rPr>
          <w:rFonts w:hint="eastAsia" w:ascii="宋体" w:hAnsi="宋体" w:cs="宋体"/>
          <w:szCs w:val="21"/>
          <w:lang w:val="en-US" w:eastAsia="zh-CN"/>
        </w:rPr>
        <w:t>1.3</w:t>
      </w:r>
      <w:bookmarkStart w:id="0" w:name="_Toc100420434"/>
      <w:r>
        <w:rPr>
          <w:rFonts w:hint="eastAsia" w:ascii="宋体" w:hAnsi="宋体" w:cs="宋体"/>
          <w:szCs w:val="21"/>
          <w:lang w:val="en-GB"/>
        </w:rPr>
        <w:t>执行标准（摘要</w:t>
      </w:r>
      <w:bookmarkEnd w:id="0"/>
      <w:r>
        <w:rPr>
          <w:rFonts w:hint="eastAsia" w:ascii="宋体" w:hAnsi="宋体" w:cs="宋体"/>
          <w:szCs w:val="21"/>
          <w:lang w:val="en-GB"/>
        </w:rPr>
        <w:t>，卖方提供的设备必须符合或不低于下列标准和规范</w:t>
      </w:r>
      <w:r>
        <w:rPr>
          <w:rFonts w:hint="eastAsia" w:ascii="宋体" w:hAnsi="宋体" w:cs="宋体"/>
          <w:szCs w:val="21"/>
          <w:lang w:val="en-GB" w:eastAsia="zh-CN"/>
        </w:rPr>
        <w:t>，以最新标准和规范为准</w:t>
      </w:r>
      <w:r>
        <w:rPr>
          <w:rFonts w:hint="eastAsia" w:ascii="宋体" w:hAnsi="宋体" w:cs="宋体"/>
          <w:szCs w:val="21"/>
          <w:lang w:val="en-GB"/>
        </w:rPr>
        <w:t>）</w:t>
      </w:r>
      <w:r>
        <w:rPr>
          <w:rFonts w:hint="eastAsia" w:ascii="楷体" w:hAnsi="楷体" w:eastAsia="楷体"/>
          <w:lang w:val="en-US" w:eastAsia="zh-CN"/>
        </w:rPr>
        <w:t xml:space="preserve">  </w:t>
      </w:r>
    </w:p>
    <w:tbl>
      <w:tblPr>
        <w:tblStyle w:val="11"/>
        <w:tblW w:w="848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2316"/>
        <w:gridCol w:w="4545"/>
        <w:gridCol w:w="7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blHeader/>
          <w:jc w:val="center"/>
        </w:trPr>
        <w:tc>
          <w:tcPr>
            <w:tcW w:w="846" w:type="dxa"/>
            <w:vAlign w:val="center"/>
          </w:tcPr>
          <w:p>
            <w:pPr>
              <w:spacing w:line="360" w:lineRule="auto"/>
              <w:jc w:val="center"/>
              <w:rPr>
                <w:rFonts w:hint="eastAsia" w:ascii="宋体" w:hAnsi="宋体" w:cs="宋体"/>
                <w:sz w:val="20"/>
                <w:szCs w:val="20"/>
                <w:lang w:val="en-GB"/>
              </w:rPr>
            </w:pPr>
            <w:r>
              <w:rPr>
                <w:rFonts w:hint="eastAsia" w:ascii="宋体" w:hAnsi="宋体" w:cs="宋体"/>
                <w:sz w:val="20"/>
                <w:szCs w:val="20"/>
                <w:lang w:val="en-GB"/>
              </w:rPr>
              <w:t>序号</w:t>
            </w:r>
          </w:p>
        </w:tc>
        <w:tc>
          <w:tcPr>
            <w:tcW w:w="2316" w:type="dxa"/>
            <w:vAlign w:val="center"/>
          </w:tcPr>
          <w:p>
            <w:pPr>
              <w:spacing w:line="360" w:lineRule="auto"/>
              <w:ind w:firstLine="400" w:firstLineChars="200"/>
              <w:jc w:val="center"/>
              <w:rPr>
                <w:rFonts w:hint="eastAsia" w:ascii="宋体" w:hAnsi="宋体" w:cs="宋体"/>
                <w:sz w:val="20"/>
                <w:szCs w:val="20"/>
                <w:lang w:val="en-GB"/>
              </w:rPr>
            </w:pPr>
            <w:r>
              <w:rPr>
                <w:rFonts w:hint="eastAsia" w:ascii="宋体" w:hAnsi="宋体" w:cs="宋体"/>
                <w:sz w:val="20"/>
                <w:szCs w:val="20"/>
                <w:lang w:val="en-GB"/>
              </w:rPr>
              <w:t>标准号</w:t>
            </w:r>
          </w:p>
        </w:tc>
        <w:tc>
          <w:tcPr>
            <w:tcW w:w="4545" w:type="dxa"/>
            <w:vAlign w:val="center"/>
          </w:tcPr>
          <w:p>
            <w:pPr>
              <w:spacing w:line="360" w:lineRule="auto"/>
              <w:ind w:firstLine="400" w:firstLineChars="200"/>
              <w:jc w:val="center"/>
              <w:rPr>
                <w:rFonts w:hint="eastAsia" w:ascii="宋体" w:hAnsi="宋体" w:cs="宋体"/>
                <w:sz w:val="20"/>
                <w:szCs w:val="20"/>
                <w:lang w:val="en-GB"/>
              </w:rPr>
            </w:pPr>
            <w:r>
              <w:rPr>
                <w:rFonts w:hint="eastAsia" w:ascii="宋体" w:hAnsi="宋体" w:cs="宋体"/>
                <w:sz w:val="20"/>
                <w:szCs w:val="20"/>
                <w:lang w:val="en-GB"/>
              </w:rPr>
              <w:t>标准名称</w:t>
            </w:r>
          </w:p>
        </w:tc>
        <w:tc>
          <w:tcPr>
            <w:tcW w:w="782" w:type="dxa"/>
            <w:vAlign w:val="center"/>
          </w:tcPr>
          <w:p>
            <w:pPr>
              <w:spacing w:line="360" w:lineRule="auto"/>
              <w:jc w:val="center"/>
              <w:rPr>
                <w:rFonts w:hint="eastAsia" w:ascii="宋体" w:hAnsi="宋体" w:cs="宋体"/>
                <w:sz w:val="20"/>
                <w:szCs w:val="20"/>
                <w:lang w:val="en-GB"/>
              </w:rPr>
            </w:pPr>
            <w:r>
              <w:rPr>
                <w:rFonts w:hint="eastAsia" w:ascii="宋体" w:hAnsi="宋体" w:cs="宋体"/>
                <w:sz w:val="20"/>
                <w:szCs w:val="20"/>
                <w:lang w:val="en-GB"/>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6" w:type="dxa"/>
            <w:vAlign w:val="center"/>
          </w:tcPr>
          <w:p>
            <w:pPr>
              <w:spacing w:line="360" w:lineRule="auto"/>
              <w:jc w:val="center"/>
              <w:rPr>
                <w:rFonts w:hint="default" w:ascii="宋体" w:hAnsi="宋体" w:cs="宋体"/>
                <w:sz w:val="20"/>
                <w:szCs w:val="20"/>
                <w:lang w:val="en-US" w:eastAsia="zh-CN"/>
              </w:rPr>
            </w:pPr>
            <w:r>
              <w:rPr>
                <w:rFonts w:hint="eastAsia" w:ascii="宋体" w:hAnsi="宋体" w:cs="宋体"/>
                <w:sz w:val="20"/>
                <w:szCs w:val="20"/>
                <w:lang w:val="en-US" w:eastAsia="zh-CN"/>
              </w:rPr>
              <w:t>1</w:t>
            </w:r>
          </w:p>
        </w:tc>
        <w:tc>
          <w:tcPr>
            <w:tcW w:w="2316" w:type="dxa"/>
            <w:vAlign w:val="center"/>
          </w:tcPr>
          <w:p>
            <w:pPr>
              <w:spacing w:line="360" w:lineRule="auto"/>
              <w:ind w:firstLine="400" w:firstLineChars="200"/>
              <w:rPr>
                <w:rFonts w:hint="default" w:ascii="宋体" w:hAnsi="宋体" w:cs="宋体"/>
                <w:sz w:val="20"/>
                <w:szCs w:val="20"/>
                <w:lang w:val="en-US"/>
              </w:rPr>
            </w:pPr>
            <w:r>
              <w:rPr>
                <w:rFonts w:hint="eastAsia" w:ascii="宋体" w:hAnsi="宋体" w:cs="宋体"/>
                <w:sz w:val="20"/>
                <w:szCs w:val="20"/>
                <w:lang w:val="en-US" w:eastAsia="zh-CN"/>
              </w:rPr>
              <w:t>GB/T 36699-2018</w:t>
            </w:r>
          </w:p>
        </w:tc>
        <w:tc>
          <w:tcPr>
            <w:tcW w:w="4545" w:type="dxa"/>
            <w:vAlign w:val="center"/>
          </w:tcPr>
          <w:p>
            <w:pPr>
              <w:spacing w:line="360" w:lineRule="auto"/>
              <w:ind w:firstLine="400" w:firstLineChars="200"/>
              <w:rPr>
                <w:rFonts w:hint="default" w:ascii="宋体" w:hAnsi="宋体" w:eastAsia="宋体" w:cs="宋体"/>
                <w:sz w:val="20"/>
                <w:szCs w:val="20"/>
                <w:lang w:val="en-US" w:eastAsia="zh-CN"/>
              </w:rPr>
            </w:pPr>
            <w:r>
              <w:rPr>
                <w:rFonts w:hint="eastAsia" w:ascii="宋体" w:hAnsi="宋体" w:cs="宋体"/>
                <w:sz w:val="20"/>
                <w:szCs w:val="20"/>
                <w:lang w:val="en-GB" w:eastAsia="zh-CN"/>
              </w:rPr>
              <w:t>锅炉用点火器技术条件</w:t>
            </w:r>
          </w:p>
        </w:tc>
        <w:tc>
          <w:tcPr>
            <w:tcW w:w="782" w:type="dxa"/>
            <w:vAlign w:val="center"/>
          </w:tcPr>
          <w:p>
            <w:pPr>
              <w:autoSpaceDE w:val="0"/>
              <w:autoSpaceDN w:val="0"/>
              <w:adjustRightInd w:val="0"/>
              <w:snapToGrid w:val="0"/>
              <w:spacing w:line="500" w:lineRule="exact"/>
              <w:contextualSpacing/>
              <w:textAlignment w:val="baseline"/>
              <w:rPr>
                <w:rFonts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6" w:type="dxa"/>
            <w:vAlign w:val="center"/>
          </w:tcPr>
          <w:p>
            <w:pPr>
              <w:spacing w:line="360" w:lineRule="auto"/>
              <w:jc w:val="center"/>
              <w:rPr>
                <w:rFonts w:hint="default" w:ascii="宋体" w:hAnsi="宋体" w:cs="宋体"/>
                <w:sz w:val="20"/>
                <w:szCs w:val="20"/>
                <w:lang w:val="en-US" w:eastAsia="zh-CN"/>
              </w:rPr>
            </w:pPr>
            <w:r>
              <w:rPr>
                <w:rFonts w:hint="eastAsia" w:ascii="宋体" w:hAnsi="宋体" w:cs="宋体"/>
                <w:sz w:val="20"/>
                <w:szCs w:val="20"/>
                <w:lang w:val="en-US" w:eastAsia="zh-CN"/>
              </w:rPr>
              <w:t>2</w:t>
            </w:r>
          </w:p>
        </w:tc>
        <w:tc>
          <w:tcPr>
            <w:tcW w:w="2316" w:type="dxa"/>
            <w:vAlign w:val="center"/>
          </w:tcPr>
          <w:p>
            <w:pPr>
              <w:spacing w:line="360" w:lineRule="auto"/>
              <w:ind w:firstLine="400" w:firstLineChars="200"/>
              <w:rPr>
                <w:rFonts w:hint="default" w:ascii="宋体" w:hAnsi="宋体" w:cs="宋体"/>
                <w:sz w:val="20"/>
                <w:szCs w:val="20"/>
                <w:lang w:val="en-US"/>
              </w:rPr>
            </w:pPr>
            <w:r>
              <w:rPr>
                <w:rFonts w:hint="eastAsia" w:ascii="宋体" w:hAnsi="宋体" w:cs="宋体"/>
                <w:sz w:val="20"/>
                <w:szCs w:val="20"/>
                <w:lang w:val="en-US" w:eastAsia="zh-CN"/>
              </w:rPr>
              <w:t>GB/T 26953-2025</w:t>
            </w:r>
          </w:p>
        </w:tc>
        <w:tc>
          <w:tcPr>
            <w:tcW w:w="4545" w:type="dxa"/>
            <w:vAlign w:val="center"/>
          </w:tcPr>
          <w:p>
            <w:pPr>
              <w:spacing w:line="360" w:lineRule="auto"/>
              <w:ind w:firstLine="400" w:firstLineChars="200"/>
              <w:rPr>
                <w:rFonts w:hint="default" w:ascii="宋体" w:hAnsi="宋体" w:eastAsia="宋体" w:cs="宋体"/>
                <w:sz w:val="20"/>
                <w:szCs w:val="20"/>
                <w:lang w:val="en-US" w:eastAsia="zh-CN"/>
              </w:rPr>
            </w:pPr>
            <w:r>
              <w:rPr>
                <w:rFonts w:hint="eastAsia" w:ascii="宋体" w:hAnsi="宋体" w:cs="宋体"/>
                <w:sz w:val="20"/>
                <w:szCs w:val="20"/>
                <w:lang w:val="en-GB" w:eastAsia="zh-CN"/>
              </w:rPr>
              <w:t>焊缝无损检测</w:t>
            </w:r>
            <w:r>
              <w:rPr>
                <w:rFonts w:hint="eastAsia" w:ascii="宋体" w:hAnsi="宋体" w:cs="宋体"/>
                <w:sz w:val="20"/>
                <w:szCs w:val="20"/>
                <w:lang w:val="en-US" w:eastAsia="zh-CN"/>
              </w:rPr>
              <w:t xml:space="preserve"> 渗透检测 验收等级</w:t>
            </w:r>
          </w:p>
        </w:tc>
        <w:tc>
          <w:tcPr>
            <w:tcW w:w="782" w:type="dxa"/>
            <w:vAlign w:val="center"/>
          </w:tcPr>
          <w:p>
            <w:pPr>
              <w:autoSpaceDE w:val="0"/>
              <w:autoSpaceDN w:val="0"/>
              <w:adjustRightInd w:val="0"/>
              <w:snapToGrid w:val="0"/>
              <w:spacing w:line="500" w:lineRule="exact"/>
              <w:contextualSpacing/>
              <w:textAlignment w:val="baseline"/>
              <w:rPr>
                <w:rFonts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46" w:type="dxa"/>
            <w:vAlign w:val="center"/>
          </w:tcPr>
          <w:p>
            <w:pPr>
              <w:spacing w:line="360" w:lineRule="auto"/>
              <w:jc w:val="center"/>
              <w:rPr>
                <w:rFonts w:hint="default" w:ascii="宋体" w:hAnsi="宋体" w:cs="宋体"/>
                <w:sz w:val="20"/>
                <w:szCs w:val="20"/>
                <w:lang w:val="en-US" w:eastAsia="zh-CN"/>
              </w:rPr>
            </w:pPr>
            <w:r>
              <w:rPr>
                <w:rFonts w:hint="eastAsia" w:ascii="宋体" w:hAnsi="宋体" w:cs="宋体"/>
                <w:sz w:val="20"/>
                <w:szCs w:val="20"/>
                <w:lang w:val="en-US" w:eastAsia="zh-CN"/>
              </w:rPr>
              <w:t>3</w:t>
            </w:r>
          </w:p>
        </w:tc>
        <w:tc>
          <w:tcPr>
            <w:tcW w:w="2316" w:type="dxa"/>
            <w:vAlign w:val="center"/>
          </w:tcPr>
          <w:p>
            <w:pPr>
              <w:spacing w:line="360" w:lineRule="auto"/>
              <w:ind w:firstLine="400" w:firstLineChars="200"/>
              <w:rPr>
                <w:rFonts w:hint="default" w:ascii="宋体" w:hAnsi="宋体" w:cs="宋体"/>
                <w:sz w:val="20"/>
                <w:szCs w:val="20"/>
                <w:lang w:val="en-US" w:eastAsia="zh-CN"/>
              </w:rPr>
            </w:pPr>
            <w:r>
              <w:rPr>
                <w:rFonts w:hint="eastAsia" w:ascii="宋体" w:hAnsi="宋体" w:cs="宋体"/>
                <w:sz w:val="20"/>
                <w:szCs w:val="20"/>
                <w:lang w:val="en-US" w:eastAsia="zh-CN"/>
              </w:rPr>
              <w:t>GB/T 19839-2005</w:t>
            </w:r>
          </w:p>
        </w:tc>
        <w:tc>
          <w:tcPr>
            <w:tcW w:w="4545" w:type="dxa"/>
            <w:vAlign w:val="center"/>
          </w:tcPr>
          <w:p>
            <w:pPr>
              <w:spacing w:line="360" w:lineRule="auto"/>
              <w:ind w:firstLine="400" w:firstLineChars="200"/>
              <w:rPr>
                <w:rFonts w:hint="eastAsia" w:ascii="宋体" w:hAnsi="宋体" w:cs="宋体"/>
                <w:sz w:val="20"/>
                <w:szCs w:val="20"/>
                <w:lang w:val="en-GB" w:eastAsia="zh-CN"/>
              </w:rPr>
            </w:pPr>
            <w:r>
              <w:rPr>
                <w:rFonts w:hint="eastAsia" w:ascii="宋体" w:hAnsi="宋体" w:cs="宋体"/>
                <w:sz w:val="20"/>
                <w:szCs w:val="20"/>
                <w:lang w:val="en-GB" w:eastAsia="zh-CN"/>
              </w:rPr>
              <w:t>工业燃油燃气燃烧器通用技术条件</w:t>
            </w:r>
          </w:p>
        </w:tc>
        <w:tc>
          <w:tcPr>
            <w:tcW w:w="782" w:type="dxa"/>
            <w:vAlign w:val="center"/>
          </w:tcPr>
          <w:p>
            <w:pPr>
              <w:autoSpaceDE w:val="0"/>
              <w:autoSpaceDN w:val="0"/>
              <w:adjustRightInd w:val="0"/>
              <w:snapToGrid w:val="0"/>
              <w:spacing w:line="500" w:lineRule="exact"/>
              <w:contextualSpacing/>
              <w:textAlignment w:val="baseline"/>
              <w:rPr>
                <w:rFonts w:ascii="仿宋" w:hAnsi="仿宋" w:eastAsia="仿宋"/>
                <w:sz w:val="20"/>
                <w:szCs w:val="20"/>
              </w:rPr>
            </w:pPr>
          </w:p>
        </w:tc>
      </w:tr>
    </w:tbl>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cs="宋体"/>
          <w:sz w:val="28"/>
          <w:szCs w:val="28"/>
          <w:lang w:val="en-US" w:eastAsia="zh-CN"/>
        </w:rPr>
        <w:t>设备供货清单</w:t>
      </w:r>
      <w:r>
        <w:rPr>
          <w:rFonts w:hint="eastAsia" w:ascii="宋体" w:hAnsi="宋体" w:eastAsia="宋体" w:cs="宋体"/>
          <w:sz w:val="28"/>
          <w:szCs w:val="28"/>
          <w:lang w:val="en-US" w:eastAsia="zh-CN"/>
        </w:rPr>
        <w:t>：</w:t>
      </w:r>
    </w:p>
    <w:tbl>
      <w:tblPr>
        <w:tblStyle w:val="11"/>
        <w:tblpPr w:leftFromText="180" w:rightFromText="180" w:vertAnchor="text" w:horzAnchor="page" w:tblpXSpec="center" w:tblpY="126"/>
        <w:tblOverlap w:val="never"/>
        <w:tblW w:w="8537" w:type="dxa"/>
        <w:jc w:val="center"/>
        <w:tblInd w:w="0" w:type="dxa"/>
        <w:tblLayout w:type="fixed"/>
        <w:tblCellMar>
          <w:top w:w="15" w:type="dxa"/>
          <w:left w:w="15" w:type="dxa"/>
          <w:bottom w:w="15" w:type="dxa"/>
          <w:right w:w="15" w:type="dxa"/>
        </w:tblCellMar>
      </w:tblPr>
      <w:tblGrid>
        <w:gridCol w:w="637"/>
        <w:gridCol w:w="1038"/>
        <w:gridCol w:w="2962"/>
        <w:gridCol w:w="488"/>
        <w:gridCol w:w="575"/>
        <w:gridCol w:w="1037"/>
        <w:gridCol w:w="1800"/>
      </w:tblGrid>
      <w:tr>
        <w:tblPrEx>
          <w:tblLayout w:type="fixed"/>
          <w:tblCellMar>
            <w:top w:w="15" w:type="dxa"/>
            <w:left w:w="15" w:type="dxa"/>
            <w:bottom w:w="15" w:type="dxa"/>
            <w:right w:w="15" w:type="dxa"/>
          </w:tblCellMar>
        </w:tblPrEx>
        <w:trPr>
          <w:trHeight w:val="657" w:hRule="atLeast"/>
          <w:jc w:val="center"/>
        </w:trPr>
        <w:tc>
          <w:tcPr>
            <w:tcW w:w="63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序号</w:t>
            </w:r>
          </w:p>
        </w:tc>
        <w:tc>
          <w:tcPr>
            <w:tcW w:w="103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编码</w:t>
            </w:r>
          </w:p>
        </w:tc>
        <w:tc>
          <w:tcPr>
            <w:tcW w:w="2962"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物料描述</w:t>
            </w:r>
          </w:p>
        </w:tc>
        <w:tc>
          <w:tcPr>
            <w:tcW w:w="488"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单位</w:t>
            </w:r>
          </w:p>
        </w:tc>
        <w:tc>
          <w:tcPr>
            <w:tcW w:w="575"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数量</w:t>
            </w:r>
          </w:p>
        </w:tc>
        <w:tc>
          <w:tcPr>
            <w:tcW w:w="1037"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0"/>
                <w:szCs w:val="20"/>
                <w:lang w:eastAsia="zh-CN"/>
              </w:rPr>
              <w:t>交货期</w:t>
            </w:r>
          </w:p>
        </w:tc>
        <w:tc>
          <w:tcPr>
            <w:tcW w:w="1800" w:type="dxa"/>
            <w:tcBorders>
              <w:top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rPr>
            </w:pPr>
            <w:r>
              <w:rPr>
                <w:rFonts w:hint="eastAsia" w:ascii="宋体" w:hAnsi="宋体" w:eastAsia="宋体" w:cs="宋体"/>
                <w:sz w:val="20"/>
                <w:szCs w:val="20"/>
                <w:lang w:eastAsia="zh-CN"/>
              </w:rPr>
              <w:t>备注</w:t>
            </w:r>
          </w:p>
        </w:tc>
      </w:tr>
      <w:tr>
        <w:tblPrEx>
          <w:tblLayout w:type="fixed"/>
          <w:tblCellMar>
            <w:top w:w="15" w:type="dxa"/>
            <w:left w:w="15" w:type="dxa"/>
            <w:bottom w:w="15" w:type="dxa"/>
            <w:right w:w="15" w:type="dxa"/>
          </w:tblCellMar>
        </w:tblPrEx>
        <w:trPr>
          <w:trHeight w:val="1305" w:hRule="atLeast"/>
          <w:jc w:val="center"/>
        </w:trPr>
        <w:tc>
          <w:tcPr>
            <w:tcW w:w="637"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1</w:t>
            </w:r>
          </w:p>
        </w:tc>
        <w:tc>
          <w:tcPr>
            <w:tcW w:w="1038"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1"/>
                <w:szCs w:val="21"/>
                <w:lang w:eastAsia="zh-CN"/>
              </w:rPr>
              <w:t>70071555</w:t>
            </w:r>
          </w:p>
        </w:tc>
        <w:tc>
          <w:tcPr>
            <w:tcW w:w="2962" w:type="dxa"/>
            <w:tcBorders>
              <w:left w:val="single" w:color="auto"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eastAsia="宋体" w:cs="宋体"/>
                <w:sz w:val="21"/>
                <w:szCs w:val="21"/>
                <w:lang w:eastAsia="zh-CN"/>
              </w:rPr>
              <w:t>主烧嘴\WRBG-7B JEXX02BOC21006</w:t>
            </w:r>
          </w:p>
        </w:tc>
        <w:tc>
          <w:tcPr>
            <w:tcW w:w="488"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eastAsia" w:ascii="宋体" w:hAnsi="宋体" w:eastAsia="宋体" w:cs="宋体"/>
                <w:sz w:val="20"/>
                <w:szCs w:val="20"/>
                <w:lang w:eastAsia="zh-CN"/>
              </w:rPr>
            </w:pPr>
            <w:r>
              <w:rPr>
                <w:rFonts w:hint="eastAsia" w:ascii="宋体" w:hAnsi="宋体" w:cs="宋体"/>
                <w:sz w:val="20"/>
                <w:szCs w:val="20"/>
                <w:lang w:eastAsia="zh-CN"/>
              </w:rPr>
              <w:t>套</w:t>
            </w:r>
          </w:p>
        </w:tc>
        <w:tc>
          <w:tcPr>
            <w:tcW w:w="575"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center"/>
              <w:textAlignment w:val="auto"/>
              <w:outlineLvl w:val="9"/>
              <w:rPr>
                <w:rFonts w:hint="default" w:ascii="宋体" w:hAnsi="宋体" w:eastAsia="宋体" w:cs="宋体"/>
                <w:sz w:val="20"/>
                <w:szCs w:val="20"/>
                <w:lang w:val="en-US" w:eastAsia="zh-CN"/>
              </w:rPr>
            </w:pPr>
            <w:r>
              <w:rPr>
                <w:rFonts w:hint="default" w:ascii="宋体" w:hAnsi="宋体" w:cs="宋体"/>
                <w:sz w:val="20"/>
                <w:szCs w:val="20"/>
                <w:lang w:val="en-US" w:eastAsia="zh-CN"/>
              </w:rPr>
              <w:t>5</w:t>
            </w:r>
          </w:p>
        </w:tc>
        <w:tc>
          <w:tcPr>
            <w:tcW w:w="1037"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default" w:ascii="宋体" w:hAnsi="宋体" w:eastAsia="宋体" w:cs="宋体"/>
                <w:sz w:val="20"/>
                <w:szCs w:val="20"/>
                <w:lang w:val="en-US" w:eastAsia="zh-CN"/>
              </w:rPr>
            </w:pPr>
            <w:r>
              <w:rPr>
                <w:rFonts w:hint="eastAsia" w:ascii="宋体" w:hAnsi="宋体" w:eastAsia="宋体" w:cs="宋体"/>
                <w:i w:val="0"/>
                <w:iCs w:val="0"/>
                <w:color w:val="000000"/>
                <w:kern w:val="0"/>
                <w:sz w:val="20"/>
                <w:szCs w:val="20"/>
                <w:u w:val="none"/>
                <w:lang w:val="en-US" w:eastAsia="zh-CN" w:bidi="ar"/>
              </w:rPr>
              <w:t>2026.</w:t>
            </w:r>
            <w:r>
              <w:rPr>
                <w:rFonts w:hint="default" w:ascii="宋体" w:hAnsi="宋体" w:cs="宋体"/>
                <w:i w:val="0"/>
                <w:iCs w:val="0"/>
                <w:color w:val="000000"/>
                <w:kern w:val="0"/>
                <w:sz w:val="20"/>
                <w:szCs w:val="20"/>
                <w:u w:val="none"/>
                <w:lang w:val="en-US" w:eastAsia="zh-CN" w:bidi="ar"/>
              </w:rPr>
              <w:t>6.30</w:t>
            </w:r>
            <w:bookmarkStart w:id="1" w:name="_GoBack"/>
            <w:bookmarkEnd w:id="1"/>
          </w:p>
        </w:tc>
        <w:tc>
          <w:tcPr>
            <w:tcW w:w="1800" w:type="dxa"/>
            <w:tcBorders>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right="0" w:rightChars="0"/>
              <w:jc w:val="both"/>
              <w:textAlignment w:val="auto"/>
              <w:outlineLvl w:val="9"/>
              <w:rPr>
                <w:rFonts w:hint="eastAsia" w:ascii="宋体" w:hAnsi="宋体" w:eastAsia="宋体" w:cs="宋体"/>
                <w:sz w:val="20"/>
                <w:szCs w:val="20"/>
                <w:lang w:eastAsia="zh-CN"/>
              </w:rPr>
            </w:pPr>
            <w:r>
              <w:rPr>
                <w:rFonts w:hint="eastAsia" w:ascii="宋体" w:hAnsi="宋体" w:eastAsia="宋体" w:cs="宋体"/>
                <w:sz w:val="21"/>
                <w:szCs w:val="21"/>
                <w:lang w:eastAsia="zh-CN"/>
              </w:rPr>
              <w:t>包含配套点火烧嘴、垫片、活接、孔板、孔板垫，需组装好</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cs="宋体"/>
          <w:b/>
          <w:szCs w:val="21"/>
          <w:lang w:val="en-US" w:eastAsia="zh-CN"/>
        </w:rPr>
      </w:pPr>
      <w:r>
        <w:rPr>
          <w:rFonts w:hint="eastAsia" w:ascii="宋体" w:hAnsi="宋体" w:cs="宋体"/>
          <w:b/>
          <w:szCs w:val="21"/>
          <w:lang w:val="en-US" w:eastAsia="zh-CN"/>
        </w:rPr>
        <w:t>三、双方责任</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1）甲方责任</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1.验收：甲方在收到设备时，进行外观、材质、数量、外形尺寸等项目的验收，与图纸及合同要求不符时甲方有权予以拒收。</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2.功能考核：</w:t>
      </w:r>
      <w:r>
        <w:rPr>
          <w:rFonts w:hint="eastAsia" w:ascii="宋体" w:hAnsi="宋体" w:cs="宋体"/>
          <w:szCs w:val="21"/>
          <w:lang w:val="sq-AL" w:eastAsia="zh-CN"/>
        </w:rPr>
        <w:t>甲方负责对</w:t>
      </w:r>
      <w:r>
        <w:rPr>
          <w:rFonts w:hint="eastAsia" w:ascii="宋体" w:hAnsi="宋体" w:cs="宋体"/>
          <w:szCs w:val="21"/>
          <w:lang w:val="en-US" w:eastAsia="zh-CN"/>
        </w:rPr>
        <w:t>设备上线</w:t>
      </w:r>
      <w:r>
        <w:rPr>
          <w:rFonts w:hint="eastAsia" w:ascii="宋体" w:hAnsi="宋体" w:cs="宋体"/>
          <w:szCs w:val="21"/>
          <w:lang w:val="sq-AL" w:eastAsia="zh-CN"/>
        </w:rPr>
        <w:t>安装、使用跟踪</w:t>
      </w:r>
      <w:r>
        <w:rPr>
          <w:rFonts w:hint="eastAsia" w:ascii="宋体" w:hAnsi="宋体" w:cs="宋体"/>
          <w:szCs w:val="21"/>
          <w:lang w:val="en-US" w:eastAsia="zh-CN"/>
        </w:rPr>
        <w:t>。甲方发现乙方制造的设备在使用中不适应甲方的工况条件，不能满足技术协议中的要求，影响甲方使用的情况，甲方将终止使用并出具相关质量异议。</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3.评价：甲方负责在甲方现场全过程考察乙方设备的综合性能，甲方本着客观公正的原则，对设备使用至技术规格书规定的使用周期后出具备件质量评定。</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2）乙方责任</w:t>
      </w:r>
    </w:p>
    <w:p>
      <w:pPr>
        <w:spacing w:line="360" w:lineRule="auto"/>
        <w:ind w:firstLine="420" w:firstLineChars="200"/>
        <w:rPr>
          <w:rFonts w:hint="eastAsia" w:ascii="宋体" w:hAnsi="宋体" w:cs="宋体"/>
          <w:szCs w:val="21"/>
          <w:lang w:val="sq-AL" w:eastAsia="zh-CN"/>
        </w:rPr>
      </w:pPr>
      <w:r>
        <w:rPr>
          <w:rFonts w:hint="eastAsia" w:ascii="宋体" w:hAnsi="宋体" w:cs="宋体"/>
          <w:szCs w:val="21"/>
          <w:lang w:val="en-US" w:eastAsia="zh-CN"/>
        </w:rPr>
        <w:t>1.</w:t>
      </w:r>
      <w:r>
        <w:rPr>
          <w:rFonts w:hint="eastAsia" w:ascii="宋体" w:hAnsi="宋体" w:cs="宋体"/>
          <w:szCs w:val="21"/>
          <w:lang w:val="sq-AL" w:eastAsia="zh-CN"/>
        </w:rPr>
        <w:t>乙方根据</w:t>
      </w:r>
      <w:r>
        <w:rPr>
          <w:rFonts w:hint="eastAsia" w:ascii="宋体" w:hAnsi="宋体" w:cs="宋体"/>
          <w:szCs w:val="21"/>
          <w:lang w:val="en-US" w:eastAsia="zh-CN"/>
        </w:rPr>
        <w:t>技术规格书中的技术参数</w:t>
      </w:r>
      <w:r>
        <w:rPr>
          <w:rFonts w:hint="eastAsia" w:ascii="宋体" w:hAnsi="宋体" w:cs="宋体"/>
          <w:szCs w:val="21"/>
          <w:lang w:val="sq-AL" w:eastAsia="zh-CN"/>
        </w:rPr>
        <w:t>进行</w:t>
      </w:r>
      <w:r>
        <w:rPr>
          <w:rFonts w:hint="eastAsia" w:ascii="宋体" w:hAnsi="宋体" w:cs="宋体"/>
          <w:szCs w:val="21"/>
          <w:lang w:val="en-US" w:eastAsia="zh-CN"/>
        </w:rPr>
        <w:t>制做</w:t>
      </w:r>
      <w:r>
        <w:rPr>
          <w:rFonts w:hint="eastAsia" w:ascii="宋体" w:hAnsi="宋体" w:cs="宋体"/>
          <w:szCs w:val="21"/>
          <w:lang w:val="sq-AL" w:eastAsia="zh-CN"/>
        </w:rPr>
        <w:t>，保证</w:t>
      </w:r>
      <w:r>
        <w:rPr>
          <w:rFonts w:hint="eastAsia" w:ascii="宋体" w:hAnsi="宋体" w:cs="宋体"/>
          <w:szCs w:val="21"/>
          <w:lang w:val="en-US" w:eastAsia="zh-CN"/>
        </w:rPr>
        <w:t>设备</w:t>
      </w:r>
      <w:r>
        <w:rPr>
          <w:rFonts w:hint="eastAsia" w:ascii="宋体" w:hAnsi="宋体" w:cs="宋体"/>
          <w:szCs w:val="21"/>
          <w:lang w:val="sq-AL" w:eastAsia="zh-CN"/>
        </w:rPr>
        <w:t>的完整性、可靠性。</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sq-AL" w:eastAsia="zh-CN"/>
        </w:rPr>
        <w:t>2</w:t>
      </w:r>
      <w:r>
        <w:rPr>
          <w:rFonts w:hint="eastAsia" w:ascii="宋体" w:hAnsi="宋体" w:cs="宋体"/>
          <w:szCs w:val="21"/>
          <w:lang w:val="en-US" w:eastAsia="zh-CN"/>
        </w:rPr>
        <w:t>.</w:t>
      </w:r>
      <w:r>
        <w:rPr>
          <w:rFonts w:hint="eastAsia" w:ascii="宋体" w:hAnsi="宋体" w:cs="宋体"/>
          <w:szCs w:val="21"/>
          <w:lang w:val="sq-AL" w:eastAsia="zh-CN"/>
        </w:rPr>
        <w:t>乙方依照甲方规定的交货</w:t>
      </w:r>
      <w:r>
        <w:rPr>
          <w:rFonts w:hint="eastAsia" w:ascii="宋体" w:hAnsi="宋体" w:cs="宋体"/>
          <w:szCs w:val="21"/>
          <w:lang w:val="en-US" w:eastAsia="zh-CN"/>
        </w:rPr>
        <w:t>周期按期交货至甲方现场，并对设备进行合理防护包装运输。</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3.乙方应按照甲方要求提供真实的出厂合格证。</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4.提供设备相关检查数据；</w:t>
      </w:r>
    </w:p>
    <w:p>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5.中标后，安排专业测量人员进行现场测绘，并与提供图纸对比、校核，以便顺利更换；</w:t>
      </w:r>
    </w:p>
    <w:p>
      <w:pPr>
        <w:spacing w:line="360" w:lineRule="auto"/>
        <w:ind w:firstLine="420" w:firstLineChars="200"/>
        <w:rPr>
          <w:rFonts w:hint="default" w:ascii="宋体" w:hAnsi="宋体" w:cs="宋体"/>
          <w:szCs w:val="21"/>
          <w:lang w:val="en-US" w:eastAsia="zh-CN"/>
        </w:rPr>
      </w:pPr>
      <w:r>
        <w:rPr>
          <w:rFonts w:hint="eastAsia" w:ascii="宋体" w:hAnsi="宋体" w:cs="宋体"/>
          <w:szCs w:val="21"/>
          <w:lang w:val="en-US" w:eastAsia="zh-CN"/>
        </w:rPr>
        <w:t>6.本条产线为改造产线，参标单位必须提供炉辊设备制造业绩，不少于3项。</w:t>
      </w:r>
    </w:p>
    <w:p>
      <w:pPr>
        <w:ind w:firstLine="422" w:firstLineChars="200"/>
        <w:rPr>
          <w:rFonts w:hint="eastAsia" w:ascii="宋体" w:hAnsi="宋体" w:cs="宋体"/>
          <w:b/>
          <w:szCs w:val="21"/>
        </w:rPr>
      </w:pPr>
      <w:r>
        <w:rPr>
          <w:rFonts w:hint="eastAsia" w:ascii="宋体" w:hAnsi="宋体" w:cs="宋体"/>
          <w:b/>
          <w:szCs w:val="21"/>
        </w:rPr>
        <w:t>四  提供资料</w:t>
      </w:r>
    </w:p>
    <w:p>
      <w:pPr>
        <w:spacing w:line="360" w:lineRule="auto"/>
        <w:ind w:firstLine="420" w:firstLineChars="200"/>
        <w:rPr>
          <w:rFonts w:hint="eastAsia" w:ascii="宋体" w:hAnsi="宋体" w:cs="宋体"/>
          <w:szCs w:val="21"/>
        </w:rPr>
      </w:pPr>
      <w:r>
        <w:rPr>
          <w:rFonts w:hint="eastAsia" w:ascii="宋体" w:hAnsi="宋体" w:cs="宋体"/>
          <w:szCs w:val="21"/>
        </w:rPr>
        <w:t>4.1 乙方需向甲方提供产品合格证和检验报告。</w:t>
      </w:r>
    </w:p>
    <w:p>
      <w:pPr>
        <w:spacing w:line="360" w:lineRule="auto"/>
        <w:ind w:firstLine="420" w:firstLineChars="200"/>
        <w:rPr>
          <w:rFonts w:hint="eastAsia" w:ascii="宋体" w:hAnsi="宋体" w:cs="宋体"/>
          <w:szCs w:val="21"/>
        </w:rPr>
      </w:pPr>
      <w:r>
        <w:rPr>
          <w:rFonts w:hint="eastAsia" w:ascii="宋体" w:hAnsi="宋体" w:cs="宋体"/>
          <w:szCs w:val="21"/>
        </w:rPr>
        <w:t>4.2 进口件的证明资料。</w:t>
      </w:r>
    </w:p>
    <w:p>
      <w:pPr>
        <w:spacing w:line="360" w:lineRule="auto"/>
        <w:ind w:firstLine="422" w:firstLineChars="200"/>
        <w:rPr>
          <w:rFonts w:hint="eastAsia" w:ascii="宋体" w:hAnsi="宋体" w:cs="宋体"/>
          <w:b/>
          <w:szCs w:val="21"/>
        </w:rPr>
      </w:pPr>
      <w:r>
        <w:rPr>
          <w:rFonts w:hint="eastAsia" w:ascii="宋体" w:hAnsi="宋体" w:cs="宋体"/>
          <w:b/>
          <w:szCs w:val="21"/>
        </w:rPr>
        <w:t>五  售后服务及质量要求</w:t>
      </w:r>
    </w:p>
    <w:p>
      <w:pPr>
        <w:spacing w:line="360" w:lineRule="auto"/>
        <w:ind w:firstLine="420" w:firstLineChars="200"/>
        <w:outlineLvl w:val="0"/>
        <w:rPr>
          <w:rFonts w:hint="eastAsia" w:ascii="宋体" w:hAnsi="宋体" w:cs="宋体"/>
          <w:szCs w:val="21"/>
        </w:rPr>
      </w:pPr>
      <w:r>
        <w:rPr>
          <w:rFonts w:hint="eastAsia" w:ascii="宋体" w:hAnsi="宋体" w:cs="宋体"/>
          <w:color w:val="000000"/>
          <w:szCs w:val="21"/>
        </w:rPr>
        <w:t>5.1乙方应保证产品质量</w:t>
      </w:r>
      <w:r>
        <w:rPr>
          <w:rFonts w:hint="eastAsia" w:ascii="宋体" w:hAnsi="宋体" w:cs="宋体"/>
          <w:bCs/>
          <w:color w:val="000000"/>
          <w:szCs w:val="21"/>
        </w:rPr>
        <w:t>，如果上线出现质量问题，</w:t>
      </w:r>
      <w:r>
        <w:rPr>
          <w:rFonts w:hint="eastAsia" w:ascii="宋体" w:hAnsi="宋体" w:cs="宋体"/>
          <w:szCs w:val="21"/>
        </w:rPr>
        <w:t>乙方人员必须按照甲方规定的时间进行解决处理。在质保期内，因备件质量原因造成的一切损失，乙方将承担所有责任，处理方式如下：</w:t>
      </w:r>
    </w:p>
    <w:p>
      <w:pPr>
        <w:spacing w:before="60" w:after="60" w:line="360" w:lineRule="auto"/>
        <w:ind w:firstLine="420" w:firstLineChars="200"/>
        <w:rPr>
          <w:rFonts w:hint="eastAsia" w:ascii="宋体" w:hAnsi="宋体" w:cs="宋体"/>
          <w:szCs w:val="21"/>
        </w:rPr>
      </w:pPr>
      <w:r>
        <w:rPr>
          <w:rFonts w:hint="eastAsia" w:ascii="宋体" w:hAnsi="宋体" w:cs="宋体"/>
          <w:szCs w:val="21"/>
        </w:rPr>
        <w:t>a.无偿返修：返修后，其质保期重新投入使用之日计算。</w:t>
      </w:r>
    </w:p>
    <w:p>
      <w:pPr>
        <w:spacing w:before="60" w:after="60" w:line="360" w:lineRule="auto"/>
        <w:ind w:firstLine="420" w:firstLineChars="200"/>
        <w:rPr>
          <w:rFonts w:hint="eastAsia" w:ascii="宋体" w:hAnsi="宋体" w:cs="宋体"/>
          <w:szCs w:val="21"/>
        </w:rPr>
      </w:pPr>
      <w:r>
        <w:rPr>
          <w:rFonts w:hint="eastAsia" w:ascii="宋体" w:hAnsi="宋体" w:cs="宋体"/>
          <w:szCs w:val="21"/>
        </w:rPr>
        <w:t>b.赔偿由于修复质量问题而造成的损失。如发现乙方违反国家标准或相关技术文件的有关规定，不遵守质量承诺，甲方有权对乙方进行经济处罚，甚至停止乙方的供货资格，情节严重的，可以按照法律程序进行索赔。</w:t>
      </w:r>
    </w:p>
    <w:p>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5.2 质量要求：本设备质量保证期为上线使用12个月或设备交付后1</w:t>
      </w:r>
      <w:r>
        <w:rPr>
          <w:rFonts w:ascii="宋体" w:hAnsi="宋体" w:cs="宋体"/>
          <w:color w:val="000000"/>
          <w:szCs w:val="21"/>
        </w:rPr>
        <w:t>8个月，先到为准</w:t>
      </w:r>
      <w:r>
        <w:rPr>
          <w:rFonts w:hint="eastAsia" w:ascii="宋体" w:hAnsi="宋体" w:cs="宋体"/>
          <w:color w:val="000000"/>
          <w:szCs w:val="21"/>
        </w:rPr>
        <w:t>。在质量保证期内出现的质量问题，乙方必须及时无偿予以解决。本设备投入使用后六个月内如发生质量问题，甲方有权索赔，设备在运输过程中出现的损坏由乙方承当责任。备件更换安装时互换性出现问题乙方必须给予及时解决，由此产生的一切费用由乙方承担并赔偿。</w:t>
      </w:r>
    </w:p>
    <w:p>
      <w:pPr>
        <w:spacing w:line="360" w:lineRule="auto"/>
        <w:ind w:firstLine="422" w:firstLineChars="200"/>
        <w:outlineLvl w:val="0"/>
        <w:rPr>
          <w:rFonts w:hint="eastAsia" w:ascii="宋体" w:hAnsi="宋体" w:cs="宋体"/>
          <w:b/>
          <w:szCs w:val="21"/>
        </w:rPr>
      </w:pPr>
      <w:r>
        <w:rPr>
          <w:rFonts w:hint="eastAsia" w:ascii="宋体" w:hAnsi="宋体" w:cs="宋体"/>
          <w:b/>
          <w:szCs w:val="21"/>
        </w:rPr>
        <w:t>六  包装要求</w:t>
      </w:r>
    </w:p>
    <w:p>
      <w:pPr>
        <w:widowControl/>
        <w:tabs>
          <w:tab w:val="left" w:pos="-180"/>
          <w:tab w:val="left" w:pos="-120"/>
          <w:tab w:val="left" w:pos="720"/>
        </w:tabs>
        <w:spacing w:line="360" w:lineRule="auto"/>
        <w:ind w:firstLine="420" w:firstLineChars="200"/>
        <w:jc w:val="left"/>
        <w:rPr>
          <w:rFonts w:hint="eastAsia" w:ascii="宋体" w:hAnsi="宋体" w:cs="宋体"/>
          <w:szCs w:val="21"/>
        </w:rPr>
      </w:pPr>
      <w:r>
        <w:rPr>
          <w:rFonts w:hint="eastAsia" w:ascii="宋体" w:hAnsi="宋体" w:cs="宋体"/>
          <w:szCs w:val="21"/>
        </w:rPr>
        <w:t>6.1</w:t>
      </w:r>
      <w:r>
        <w:rPr>
          <w:rFonts w:hint="eastAsia" w:ascii="宋体" w:hAnsi="宋体" w:cs="宋体"/>
          <w:color w:val="000000"/>
          <w:szCs w:val="21"/>
        </w:rPr>
        <w:t>发货前对设备进行包装防护，避免运输过程受到损坏</w:t>
      </w:r>
      <w:r>
        <w:rPr>
          <w:rFonts w:hint="eastAsia" w:ascii="宋体" w:hAnsi="宋体" w:cs="宋体"/>
          <w:szCs w:val="21"/>
        </w:rPr>
        <w:t>。</w:t>
      </w:r>
    </w:p>
    <w:p>
      <w:pPr>
        <w:tabs>
          <w:tab w:val="left" w:pos="0"/>
          <w:tab w:val="left" w:pos="720"/>
          <w:tab w:val="left" w:pos="900"/>
          <w:tab w:val="left" w:pos="1080"/>
        </w:tabs>
        <w:spacing w:line="360" w:lineRule="auto"/>
        <w:ind w:firstLine="422" w:firstLineChars="200"/>
        <w:rPr>
          <w:rFonts w:hint="eastAsia" w:ascii="宋体" w:hAnsi="宋体" w:cs="宋体"/>
          <w:b/>
          <w:szCs w:val="21"/>
        </w:rPr>
      </w:pPr>
      <w:r>
        <w:rPr>
          <w:rFonts w:hint="eastAsia" w:ascii="宋体" w:hAnsi="宋体" w:cs="宋体"/>
          <w:b/>
          <w:szCs w:val="21"/>
        </w:rPr>
        <w:t>七  其它</w:t>
      </w:r>
    </w:p>
    <w:p>
      <w:pPr>
        <w:tabs>
          <w:tab w:val="left" w:pos="540"/>
          <w:tab w:val="left" w:pos="720"/>
          <w:tab w:val="left" w:pos="1080"/>
        </w:tabs>
        <w:spacing w:line="360" w:lineRule="auto"/>
        <w:ind w:firstLine="420" w:firstLineChars="200"/>
        <w:rPr>
          <w:rFonts w:hint="eastAsia" w:ascii="宋体" w:hAnsi="宋体" w:cs="宋体"/>
          <w:szCs w:val="21"/>
        </w:rPr>
      </w:pPr>
      <w:r>
        <w:rPr>
          <w:rFonts w:hint="eastAsia" w:ascii="宋体" w:hAnsi="宋体" w:cs="宋体"/>
          <w:szCs w:val="21"/>
        </w:rPr>
        <w:t>7.1 本</w:t>
      </w:r>
      <w:r>
        <w:rPr>
          <w:rFonts w:hint="eastAsia" w:ascii="宋体" w:hAnsi="宋体" w:cs="宋体"/>
          <w:szCs w:val="21"/>
          <w:lang w:eastAsia="zh-CN"/>
        </w:rPr>
        <w:t>技术规格书</w:t>
      </w:r>
      <w:r>
        <w:rPr>
          <w:rFonts w:hint="eastAsia" w:ascii="宋体" w:hAnsi="宋体" w:cs="宋体"/>
          <w:szCs w:val="21"/>
        </w:rPr>
        <w:t>中未尽事宜，双方协商解决。</w:t>
      </w:r>
    </w:p>
    <w:p>
      <w:pPr>
        <w:tabs>
          <w:tab w:val="left" w:pos="540"/>
          <w:tab w:val="left" w:pos="720"/>
          <w:tab w:val="left" w:pos="1080"/>
        </w:tabs>
        <w:spacing w:line="360" w:lineRule="auto"/>
        <w:ind w:firstLine="420" w:firstLineChars="200"/>
        <w:rPr>
          <w:rFonts w:hint="eastAsia" w:ascii="宋体" w:hAnsi="宋体" w:cs="宋体"/>
          <w:b/>
          <w:kern w:val="0"/>
          <w:szCs w:val="21"/>
          <w:lang w:val="sq-AL"/>
        </w:rPr>
      </w:pPr>
      <w:r>
        <w:rPr>
          <w:rFonts w:hint="eastAsia" w:ascii="宋体" w:hAnsi="宋体" w:cs="宋体"/>
          <w:szCs w:val="21"/>
        </w:rPr>
        <w:t>7.2 本</w:t>
      </w:r>
      <w:r>
        <w:rPr>
          <w:rFonts w:hint="eastAsia" w:ascii="宋体" w:hAnsi="宋体" w:cs="宋体"/>
          <w:szCs w:val="21"/>
          <w:lang w:eastAsia="zh-CN"/>
        </w:rPr>
        <w:t>技术规格书</w:t>
      </w:r>
      <w:r>
        <w:rPr>
          <w:rFonts w:hint="eastAsia" w:ascii="宋体" w:hAnsi="宋体" w:cs="宋体"/>
          <w:szCs w:val="21"/>
        </w:rPr>
        <w:t>一式</w:t>
      </w:r>
      <w:r>
        <w:rPr>
          <w:rFonts w:hint="eastAsia" w:ascii="宋体" w:hAnsi="宋体" w:cs="宋体"/>
          <w:szCs w:val="21"/>
          <w:lang w:val="en-US" w:eastAsia="zh-CN"/>
        </w:rPr>
        <w:t>俩</w:t>
      </w:r>
      <w:r>
        <w:rPr>
          <w:rFonts w:hint="eastAsia" w:ascii="宋体" w:hAnsi="宋体" w:cs="宋体"/>
          <w:szCs w:val="21"/>
        </w:rPr>
        <w:t>份，甲乙</w:t>
      </w:r>
      <w:r>
        <w:rPr>
          <w:rFonts w:hint="eastAsia" w:ascii="宋体" w:hAnsi="宋体" w:cs="宋体"/>
          <w:szCs w:val="21"/>
          <w:lang w:val="en-US" w:eastAsia="zh-CN"/>
        </w:rPr>
        <w:t>各</w:t>
      </w:r>
      <w:r>
        <w:rPr>
          <w:rFonts w:hint="eastAsia" w:ascii="宋体" w:hAnsi="宋体" w:cs="宋体"/>
          <w:szCs w:val="21"/>
        </w:rPr>
        <w:t>一份。</w:t>
      </w:r>
    </w:p>
    <w:p>
      <w:pPr>
        <w:pStyle w:val="14"/>
        <w:numPr>
          <w:ilvl w:val="0"/>
          <w:numId w:val="2"/>
        </w:numPr>
        <w:tabs>
          <w:tab w:val="left" w:pos="993"/>
        </w:tabs>
        <w:spacing w:line="360" w:lineRule="auto"/>
        <w:ind w:firstLine="420"/>
        <w:rPr>
          <w:rFonts w:hint="eastAsia" w:ascii="宋体" w:hAnsi="宋体" w:cs="宋体"/>
          <w:vanish/>
          <w:kern w:val="0"/>
          <w:szCs w:val="21"/>
          <w:lang w:val="sq-AL"/>
        </w:rPr>
      </w:pP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7.3 </w:t>
      </w:r>
      <w:r>
        <w:rPr>
          <w:rFonts w:hint="eastAsia" w:ascii="宋体" w:hAnsi="宋体" w:cs="宋体"/>
          <w:kern w:val="0"/>
          <w:szCs w:val="21"/>
          <w:lang w:val="sq-AL"/>
        </w:rPr>
        <w:t>本技术规格书由甲、乙双方授权代表签字盖章后随商务合同同时生效。</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7.4 </w:t>
      </w:r>
      <w:r>
        <w:rPr>
          <w:rFonts w:hint="eastAsia" w:ascii="宋体" w:hAnsi="宋体" w:cs="宋体"/>
          <w:kern w:val="0"/>
          <w:szCs w:val="21"/>
          <w:lang w:val="sq-AL"/>
        </w:rPr>
        <w:t>本技术规格书作为商务合同的附件，具有同等法律效力。</w:t>
      </w:r>
    </w:p>
    <w:p>
      <w:pPr>
        <w:tabs>
          <w:tab w:val="left" w:pos="993"/>
        </w:tabs>
        <w:spacing w:line="360" w:lineRule="auto"/>
        <w:ind w:firstLine="420" w:firstLineChars="200"/>
        <w:rPr>
          <w:rFonts w:hint="eastAsia" w:ascii="宋体" w:hAnsi="宋体" w:cs="宋体"/>
          <w:kern w:val="0"/>
          <w:szCs w:val="21"/>
          <w:lang w:val="sq-AL"/>
        </w:rPr>
      </w:pPr>
      <w:r>
        <w:rPr>
          <w:rFonts w:hint="eastAsia" w:ascii="宋体" w:hAnsi="宋体" w:cs="宋体"/>
          <w:kern w:val="0"/>
          <w:szCs w:val="21"/>
        </w:rPr>
        <w:t xml:space="preserve">7.5 </w:t>
      </w:r>
      <w:r>
        <w:rPr>
          <w:rFonts w:hint="eastAsia" w:ascii="宋体" w:hAnsi="宋体" w:cs="宋体"/>
          <w:kern w:val="0"/>
          <w:szCs w:val="21"/>
          <w:lang w:val="sq-AL"/>
        </w:rPr>
        <w:t>在履行合同期间，由双方代表签署的往来信函、传真、会议记要等，将成为本</w:t>
      </w:r>
      <w:r>
        <w:rPr>
          <w:rFonts w:hint="eastAsia" w:ascii="宋体" w:hAnsi="宋体" w:cs="宋体"/>
          <w:szCs w:val="21"/>
          <w:lang w:eastAsia="zh-CN"/>
        </w:rPr>
        <w:t>技术规格书</w:t>
      </w:r>
      <w:r>
        <w:rPr>
          <w:rFonts w:hint="eastAsia" w:ascii="宋体" w:hAnsi="宋体" w:cs="宋体"/>
          <w:kern w:val="0"/>
          <w:szCs w:val="21"/>
          <w:lang w:val="sq-AL"/>
        </w:rPr>
        <w:t>不可分割的组成部分。</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6</w:t>
      </w:r>
      <w:r>
        <w:rPr>
          <w:rFonts w:hint="eastAsia" w:ascii="宋体" w:hAnsi="宋体" w:cs="宋体"/>
          <w:kern w:val="0"/>
          <w:szCs w:val="21"/>
        </w:rPr>
        <w:t xml:space="preserve"> 依据使用情况，甲方保留再次修订完善</w:t>
      </w:r>
      <w:r>
        <w:rPr>
          <w:rFonts w:hint="eastAsia" w:ascii="宋体" w:hAnsi="宋体" w:cs="宋体"/>
          <w:szCs w:val="21"/>
          <w:lang w:eastAsia="zh-CN"/>
        </w:rPr>
        <w:t>技术规格书</w:t>
      </w:r>
      <w:r>
        <w:rPr>
          <w:rFonts w:hint="eastAsia" w:ascii="宋体" w:hAnsi="宋体" w:cs="宋体"/>
          <w:kern w:val="0"/>
          <w:szCs w:val="21"/>
        </w:rPr>
        <w:t>的权利。</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7</w:t>
      </w:r>
      <w:r>
        <w:rPr>
          <w:rFonts w:hint="eastAsia" w:ascii="宋体" w:hAnsi="宋体" w:cs="宋体"/>
          <w:kern w:val="0"/>
          <w:szCs w:val="21"/>
        </w:rPr>
        <w:t>其</w:t>
      </w:r>
      <w:r>
        <w:rPr>
          <w:rFonts w:hint="eastAsia" w:ascii="宋体" w:hAnsi="宋体" w:cs="宋体"/>
          <w:kern w:val="0"/>
          <w:szCs w:val="21"/>
          <w:lang w:eastAsia="zh-CN"/>
        </w:rPr>
        <w:t>他</w:t>
      </w:r>
      <w:r>
        <w:rPr>
          <w:rFonts w:hint="eastAsia" w:ascii="宋体" w:hAnsi="宋体" w:cs="宋体"/>
          <w:kern w:val="0"/>
          <w:szCs w:val="21"/>
        </w:rPr>
        <w:t>未尽事宜甲乙双方协商解决。</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7.8</w:t>
      </w:r>
      <w:r>
        <w:rPr>
          <w:rFonts w:hint="eastAsia" w:ascii="宋体" w:hAnsi="宋体" w:cs="宋体"/>
          <w:kern w:val="0"/>
          <w:szCs w:val="21"/>
        </w:rPr>
        <w:t>本规格书内容经由甲乙双方于     年    月    日    时-    时通过         方式商定。</w:t>
      </w:r>
    </w:p>
    <w:p>
      <w:pPr>
        <w:tabs>
          <w:tab w:val="left" w:pos="993"/>
        </w:tabs>
        <w:spacing w:line="360" w:lineRule="auto"/>
        <w:ind w:firstLine="420" w:firstLineChars="200"/>
        <w:rPr>
          <w:rFonts w:hint="eastAsia" w:ascii="宋体" w:hAnsi="宋体" w:cs="宋体"/>
          <w:kern w:val="0"/>
          <w:szCs w:val="21"/>
        </w:rPr>
      </w:pPr>
      <w:r>
        <w:rPr>
          <w:rFonts w:hint="eastAsia" w:ascii="宋体" w:hAnsi="宋体" w:cs="宋体"/>
          <w:kern w:val="0"/>
          <w:szCs w:val="21"/>
        </w:rPr>
        <w:t>7.</w:t>
      </w:r>
      <w:r>
        <w:rPr>
          <w:rFonts w:hint="eastAsia" w:ascii="宋体" w:hAnsi="宋体" w:cs="宋体"/>
          <w:kern w:val="0"/>
          <w:szCs w:val="21"/>
          <w:lang w:val="en-US" w:eastAsia="zh-CN"/>
        </w:rPr>
        <w:t>9</w:t>
      </w:r>
      <w:r>
        <w:rPr>
          <w:rFonts w:hint="eastAsia" w:ascii="宋体" w:hAnsi="宋体" w:cs="宋体"/>
          <w:kern w:val="0"/>
          <w:szCs w:val="21"/>
        </w:rPr>
        <w:t>甲乙双方应当就签订本</w:t>
      </w:r>
      <w:r>
        <w:rPr>
          <w:rFonts w:hint="eastAsia" w:ascii="宋体" w:hAnsi="宋体" w:cs="宋体"/>
          <w:szCs w:val="21"/>
          <w:lang w:eastAsia="zh-CN"/>
        </w:rPr>
        <w:t>技术规格书</w:t>
      </w:r>
      <w:r>
        <w:rPr>
          <w:rFonts w:hint="eastAsia" w:ascii="宋体" w:hAnsi="宋体" w:cs="宋体"/>
          <w:kern w:val="0"/>
          <w:szCs w:val="21"/>
        </w:rPr>
        <w:t>的相关事宜保密，不得将签订主体、时间、内容等信息透露给其他第三人。</w:t>
      </w:r>
    </w:p>
    <w:p>
      <w:pPr>
        <w:tabs>
          <w:tab w:val="left" w:pos="993"/>
        </w:tabs>
        <w:spacing w:line="360" w:lineRule="auto"/>
        <w:ind w:firstLine="420" w:firstLineChars="200"/>
        <w:rPr>
          <w:rFonts w:hint="eastAsia" w:ascii="宋体" w:hAnsi="宋体" w:eastAsia="宋体" w:cs="宋体"/>
          <w:b/>
          <w:kern w:val="0"/>
          <w:szCs w:val="21"/>
          <w:lang w:eastAsia="zh-CN"/>
        </w:rPr>
      </w:pPr>
      <w:r>
        <w:rPr>
          <w:rFonts w:hint="eastAsia" w:ascii="宋体" w:hAnsi="宋体" w:cs="宋体"/>
          <w:kern w:val="0"/>
          <w:szCs w:val="21"/>
        </w:rPr>
        <w:t>7.</w:t>
      </w:r>
      <w:r>
        <w:rPr>
          <w:rFonts w:hint="eastAsia" w:ascii="宋体" w:hAnsi="宋体" w:cs="宋体"/>
          <w:kern w:val="0"/>
          <w:szCs w:val="21"/>
          <w:lang w:val="en-US" w:eastAsia="zh-CN"/>
        </w:rPr>
        <w:t>10</w:t>
      </w:r>
      <w:r>
        <w:rPr>
          <w:rFonts w:hint="eastAsia" w:ascii="宋体" w:hAnsi="宋体" w:cs="宋体"/>
          <w:kern w:val="0"/>
          <w:szCs w:val="21"/>
        </w:rPr>
        <w:t xml:space="preserve"> 若乙方公司不能中标，则</w:t>
      </w:r>
      <w:r>
        <w:rPr>
          <w:rFonts w:hint="eastAsia" w:ascii="宋体" w:hAnsi="宋体" w:cs="宋体"/>
          <w:kern w:val="0"/>
          <w:szCs w:val="21"/>
          <w:lang w:val="sq-AL"/>
        </w:rPr>
        <w:t>本技术规格书</w:t>
      </w:r>
      <w:r>
        <w:rPr>
          <w:rFonts w:hint="eastAsia" w:ascii="宋体" w:hAnsi="宋体" w:cs="宋体"/>
          <w:kern w:val="0"/>
          <w:szCs w:val="21"/>
        </w:rPr>
        <w:t>自动失效，双方互不承担任何责任</w:t>
      </w:r>
      <w:r>
        <w:rPr>
          <w:rFonts w:hint="eastAsia" w:ascii="宋体" w:hAnsi="宋体" w:cs="宋体"/>
          <w:kern w:val="0"/>
          <w:szCs w:val="21"/>
          <w:lang w:eastAsia="zh-CN"/>
        </w:rPr>
        <w:t>。</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p>
    <w:p>
      <w:pPr>
        <w:tabs>
          <w:tab w:val="left" w:pos="1943"/>
        </w:tabs>
        <w:adjustRightInd w:val="0"/>
        <w:spacing w:line="360" w:lineRule="auto"/>
        <w:ind w:firstLine="422" w:firstLineChars="200"/>
        <w:jc w:val="left"/>
        <w:textAlignment w:val="baseline"/>
        <w:rPr>
          <w:rFonts w:hint="eastAsia" w:ascii="宋体" w:hAnsi="宋体" w:cs="宋体"/>
          <w:b w:val="0"/>
          <w:bCs/>
          <w:kern w:val="0"/>
          <w:szCs w:val="21"/>
          <w:lang w:eastAsia="zh-CN"/>
        </w:rPr>
      </w:pPr>
      <w:r>
        <w:rPr>
          <w:rFonts w:hint="eastAsia" w:ascii="宋体" w:hAnsi="宋体" w:cs="宋体"/>
          <w:b/>
          <w:kern w:val="0"/>
          <w:szCs w:val="21"/>
        </w:rPr>
        <w:t>甲方：</w:t>
      </w:r>
      <w:r>
        <w:rPr>
          <w:rFonts w:hint="eastAsia" w:ascii="宋体" w:hAnsi="宋体" w:cs="宋体"/>
          <w:b w:val="0"/>
          <w:bCs/>
          <w:kern w:val="0"/>
          <w:szCs w:val="21"/>
        </w:rPr>
        <w:t>酒钢集团</w:t>
      </w:r>
      <w:r>
        <w:rPr>
          <w:rFonts w:hint="eastAsia" w:ascii="宋体" w:hAnsi="宋体" w:cs="宋体"/>
          <w:b w:val="0"/>
          <w:bCs/>
          <w:kern w:val="0"/>
          <w:szCs w:val="21"/>
          <w:lang w:eastAsia="zh-CN"/>
        </w:rPr>
        <w:t>甘肃宏兴宏宇新材料有限责任公司</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代表：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r>
        <w:rPr>
          <w:rFonts w:hint="eastAsia" w:ascii="宋体" w:hAnsi="宋体" w:cs="宋体"/>
          <w:b/>
          <w:kern w:val="0"/>
          <w:szCs w:val="21"/>
        </w:rPr>
        <w:t>乙方：</w:t>
      </w:r>
      <w:r>
        <w:rPr>
          <w:rFonts w:hint="eastAsia" w:ascii="宋体" w:hAnsi="宋体" w:cs="宋体"/>
          <w:b/>
          <w:kern w:val="0"/>
          <w:szCs w:val="21"/>
          <w:lang w:val="en-US" w:eastAsia="zh-CN"/>
        </w:rPr>
        <w:t xml:space="preserve"> </w:t>
      </w:r>
    </w:p>
    <w:p>
      <w:pPr>
        <w:tabs>
          <w:tab w:val="left" w:pos="1943"/>
        </w:tabs>
        <w:adjustRightInd w:val="0"/>
        <w:spacing w:line="360" w:lineRule="auto"/>
        <w:ind w:firstLine="422" w:firstLineChars="200"/>
        <w:jc w:val="left"/>
        <w:textAlignment w:val="baseline"/>
        <w:rPr>
          <w:rFonts w:hint="eastAsia" w:ascii="宋体" w:hAnsi="宋体" w:cs="宋体"/>
          <w:b/>
          <w:kern w:val="0"/>
          <w:szCs w:val="21"/>
          <w:lang w:val="en-US" w:eastAsia="zh-CN"/>
        </w:rPr>
      </w:pP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代表：</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（签字盖章）  </w:t>
      </w:r>
    </w:p>
    <w:p>
      <w:pPr>
        <w:tabs>
          <w:tab w:val="left" w:pos="1943"/>
        </w:tabs>
        <w:adjustRightInd w:val="0"/>
        <w:spacing w:line="360" w:lineRule="auto"/>
        <w:ind w:firstLine="422" w:firstLineChars="200"/>
        <w:jc w:val="left"/>
        <w:textAlignment w:val="baseline"/>
        <w:rPr>
          <w:rFonts w:hint="eastAsia" w:ascii="宋体" w:hAnsi="宋体" w:cs="宋体"/>
          <w:b/>
          <w:kern w:val="0"/>
          <w:szCs w:val="21"/>
        </w:rPr>
      </w:pPr>
      <w:r>
        <w:rPr>
          <w:rFonts w:hint="eastAsia" w:ascii="宋体" w:hAnsi="宋体" w:cs="宋体"/>
          <w:b/>
          <w:kern w:val="0"/>
          <w:szCs w:val="21"/>
        </w:rPr>
        <w:t xml:space="preserve">                                       年    月    日 </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sz w:val="28"/>
          <w:szCs w:val="28"/>
          <w:lang w:val="en-US" w:eastAsia="zh-CN"/>
        </w:rPr>
      </w:pPr>
    </w:p>
    <w:sectPr>
      <w:headerReference r:id="rId5" w:type="default"/>
      <w:footerReference r:id="rId6" w:type="default"/>
      <w:footerReference r:id="rId7" w:type="even"/>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embedRegular r:id="rId1" w:fontKey="{633DF9E7-1F9B-45B4-B604-B27B00283CD9}"/>
  </w:font>
  <w:font w:name="仿宋_GB2312">
    <w:altName w:val="仿宋"/>
    <w:panose1 w:val="02010609060101010101"/>
    <w:charset w:val="86"/>
    <w:family w:val="auto"/>
    <w:pitch w:val="default"/>
    <w:sig w:usb0="00000000" w:usb1="00000000" w:usb2="00000016" w:usb3="00000000" w:csb0="00040001" w:csb1="00000000"/>
    <w:embedRegular r:id="rId2" w:fontKey="{6D835D39-82F4-448B-8F2C-576F7AA57313}"/>
  </w:font>
  <w:font w:name="楷体">
    <w:panose1 w:val="02010609060101010101"/>
    <w:charset w:val="86"/>
    <w:family w:val="modern"/>
    <w:pitch w:val="default"/>
    <w:sig w:usb0="800002BF" w:usb1="38CF7CFA" w:usb2="00000016" w:usb3="00000000" w:csb0="00040001" w:csb1="00000000"/>
    <w:embedRegular r:id="rId3" w:fontKey="{B6EA028D-827A-40DA-840E-6CC6CA866FA5}"/>
  </w:font>
  <w:font w:name="仿宋">
    <w:panose1 w:val="02010609060101010101"/>
    <w:charset w:val="86"/>
    <w:family w:val="auto"/>
    <w:pitch w:val="default"/>
    <w:sig w:usb0="800002BF" w:usb1="38CF7CFA" w:usb2="00000016" w:usb3="00000000" w:csb0="00040001" w:csb1="00000000"/>
    <w:embedRegular r:id="rId4" w:fontKey="{ECA90194-FB2D-4016-B316-90EB8ADA0F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separate"/>
    </w:r>
    <w:r>
      <w:rPr>
        <w:rStyle w:val="13"/>
      </w:rPr>
      <w:t>7</w:t>
    </w:r>
    <w: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separate"/>
    </w:r>
    <w:r>
      <w:rPr>
        <w:rStyle w:val="13"/>
      </w:rPr>
      <w:t>3</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285"/>
    <w:multiLevelType w:val="multilevel"/>
    <w:tmpl w:val="00113285"/>
    <w:lvl w:ilvl="0" w:tentative="0">
      <w:start w:val="1"/>
      <w:numFmt w:val="decimal"/>
      <w:pStyle w:val="15"/>
      <w:lvlText w:val="%1."/>
      <w:lvlJc w:val="left"/>
      <w:pPr>
        <w:tabs>
          <w:tab w:val="left" w:pos="675"/>
        </w:tabs>
        <w:ind w:left="675" w:hanging="360"/>
      </w:pPr>
      <w:rPr>
        <w:rFonts w:hint="default" w:cs="Times New Roman"/>
      </w:rPr>
    </w:lvl>
    <w:lvl w:ilvl="1" w:tentative="0">
      <w:start w:val="1"/>
      <w:numFmt w:val="decimalEnclosedCircle"/>
      <w:lvlText w:val="%2"/>
      <w:lvlJc w:val="left"/>
      <w:pPr>
        <w:tabs>
          <w:tab w:val="left" w:pos="840"/>
        </w:tabs>
        <w:ind w:left="840" w:hanging="420"/>
      </w:pPr>
      <w:rPr>
        <w:rFonts w:ascii="楷体_GB2312" w:hAnsi="宋体" w:eastAsia="楷体_GB2312"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hint="default"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152CA19B"/>
    <w:multiLevelType w:val="multilevel"/>
    <w:tmpl w:val="152CA19B"/>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4679"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MzkwODk2ODdhNTM4NTY4Njc3ODBhMjY1NDk1MjkifQ=="/>
  </w:docVars>
  <w:rsids>
    <w:rsidRoot w:val="45035325"/>
    <w:rsid w:val="01650689"/>
    <w:rsid w:val="01CF2476"/>
    <w:rsid w:val="02092656"/>
    <w:rsid w:val="021D17B3"/>
    <w:rsid w:val="031306A7"/>
    <w:rsid w:val="09937054"/>
    <w:rsid w:val="0B00507A"/>
    <w:rsid w:val="0B813DCE"/>
    <w:rsid w:val="0C516E35"/>
    <w:rsid w:val="0E3002A5"/>
    <w:rsid w:val="0F2B0AF6"/>
    <w:rsid w:val="191F2E40"/>
    <w:rsid w:val="1CAF186D"/>
    <w:rsid w:val="1E9C0866"/>
    <w:rsid w:val="283622EB"/>
    <w:rsid w:val="291C19A6"/>
    <w:rsid w:val="29800FDB"/>
    <w:rsid w:val="2A3F0967"/>
    <w:rsid w:val="2A5C6E6E"/>
    <w:rsid w:val="2ACB0237"/>
    <w:rsid w:val="2B6A6B45"/>
    <w:rsid w:val="2CC54C12"/>
    <w:rsid w:val="2D62678A"/>
    <w:rsid w:val="300A5C02"/>
    <w:rsid w:val="309A2B85"/>
    <w:rsid w:val="37DA16A4"/>
    <w:rsid w:val="38035977"/>
    <w:rsid w:val="38A34E71"/>
    <w:rsid w:val="38F22122"/>
    <w:rsid w:val="3A0325A3"/>
    <w:rsid w:val="3D5B544A"/>
    <w:rsid w:val="41AA3211"/>
    <w:rsid w:val="420C2CFA"/>
    <w:rsid w:val="42DC213A"/>
    <w:rsid w:val="43FF0A5F"/>
    <w:rsid w:val="44816199"/>
    <w:rsid w:val="45035325"/>
    <w:rsid w:val="46994657"/>
    <w:rsid w:val="48B84C3E"/>
    <w:rsid w:val="4CC025E5"/>
    <w:rsid w:val="4D02154B"/>
    <w:rsid w:val="4DFE3C38"/>
    <w:rsid w:val="4ED13FFE"/>
    <w:rsid w:val="50607C9B"/>
    <w:rsid w:val="507A362C"/>
    <w:rsid w:val="51B2535C"/>
    <w:rsid w:val="525564B4"/>
    <w:rsid w:val="532B3FA1"/>
    <w:rsid w:val="545A0320"/>
    <w:rsid w:val="55DD6063"/>
    <w:rsid w:val="5EBD3D5F"/>
    <w:rsid w:val="6124323A"/>
    <w:rsid w:val="61AA5055"/>
    <w:rsid w:val="64777168"/>
    <w:rsid w:val="670D69D2"/>
    <w:rsid w:val="69386B6B"/>
    <w:rsid w:val="69A37C31"/>
    <w:rsid w:val="6FEE01B6"/>
    <w:rsid w:val="71382206"/>
    <w:rsid w:val="726227D9"/>
    <w:rsid w:val="76997E36"/>
    <w:rsid w:val="77586705"/>
    <w:rsid w:val="7C245308"/>
    <w:rsid w:val="7D93211D"/>
    <w:rsid w:val="7DBD2FDC"/>
    <w:rsid w:val="7E10135E"/>
    <w:rsid w:val="7F9F1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3"/>
    <w:qFormat/>
    <w:uiPriority w:val="0"/>
    <w:pPr>
      <w:keepNext/>
      <w:keepLines/>
      <w:spacing w:before="120" w:line="360" w:lineRule="auto"/>
      <w:jc w:val="left"/>
      <w:outlineLvl w:val="1"/>
    </w:pPr>
    <w:rPr>
      <w:rFonts w:ascii="宋体" w:hAnsi="Arial"/>
      <w:sz w:val="28"/>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3">
    <w:name w:val="Normal Indent"/>
    <w:basedOn w:val="1"/>
    <w:qFormat/>
    <w:uiPriority w:val="0"/>
    <w:pPr>
      <w:ind w:firstLine="420"/>
    </w:pPr>
    <w:rPr>
      <w:sz w:val="28"/>
    </w:rPr>
  </w:style>
  <w:style w:type="paragraph" w:styleId="5">
    <w:name w:val="Body Text"/>
    <w:basedOn w:val="1"/>
    <w:semiHidden/>
    <w:qFormat/>
    <w:uiPriority w:val="0"/>
    <w:rPr>
      <w:rFonts w:ascii="宋体" w:hAnsi="宋体" w:eastAsia="宋体" w:cs="宋体"/>
      <w:sz w:val="24"/>
      <w:szCs w:val="24"/>
      <w:lang w:val="en-US" w:eastAsia="en-US" w:bidi="ar-SA"/>
    </w:rPr>
  </w:style>
  <w:style w:type="paragraph" w:styleId="6">
    <w:name w:val="Body Text Indent"/>
    <w:basedOn w:val="1"/>
    <w:qFormat/>
    <w:uiPriority w:val="0"/>
    <w:pPr>
      <w:spacing w:line="360" w:lineRule="auto"/>
      <w:ind w:firstLine="480"/>
    </w:pPr>
    <w:rPr>
      <w:rFonts w:ascii="宋体"/>
      <w:sz w:val="24"/>
    </w:rPr>
  </w:style>
  <w:style w:type="paragraph" w:styleId="7">
    <w:name w:val="Plain Text"/>
    <w:basedOn w:val="1"/>
    <w:qFormat/>
    <w:uiPriority w:val="0"/>
    <w:pPr>
      <w:spacing w:line="240" w:lineRule="auto"/>
    </w:pPr>
    <w:rPr>
      <w:rFonts w:hAnsi="Courier New" w:cs="Courier New" w:eastAsiaTheme="minorEastAsia"/>
      <w:color w:val="auto"/>
      <w:sz w:val="24"/>
      <w:szCs w:val="21"/>
      <w:lang w:eastAsia="en-US" w:bidi="en-US"/>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6"/>
    <w:unhideWhenUsed/>
    <w:qFormat/>
    <w:uiPriority w:val="0"/>
    <w:pPr>
      <w:spacing w:after="120" w:line="240" w:lineRule="auto"/>
      <w:ind w:left="420" w:leftChars="200" w:firstLine="420" w:firstLineChars="200"/>
    </w:pPr>
    <w:rPr>
      <w:rFonts w:ascii="Times New Roman"/>
      <w:sz w:val="19"/>
    </w:rPr>
  </w:style>
  <w:style w:type="character" w:styleId="13">
    <w:name w:val="page number"/>
    <w:basedOn w:val="12"/>
    <w:qFormat/>
    <w:uiPriority w:val="0"/>
  </w:style>
  <w:style w:type="paragraph" w:styleId="14">
    <w:name w:val="List Paragraph"/>
    <w:basedOn w:val="1"/>
    <w:qFormat/>
    <w:uiPriority w:val="34"/>
    <w:pPr>
      <w:ind w:firstLine="420" w:firstLineChars="200"/>
    </w:pPr>
  </w:style>
  <w:style w:type="paragraph" w:customStyle="1" w:styleId="15">
    <w:name w:val="font0"/>
    <w:basedOn w:val="1"/>
    <w:qFormat/>
    <w:uiPriority w:val="0"/>
    <w:pPr>
      <w:widowControl/>
      <w:numPr>
        <w:ilvl w:val="0"/>
        <w:numId w:val="1"/>
      </w:numPr>
      <w:spacing w:before="100" w:beforeAutospacing="1" w:after="10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2126</Words>
  <Characters>2370</Characters>
  <Lines>0</Lines>
  <Paragraphs>0</Paragraphs>
  <TotalTime>4</TotalTime>
  <ScaleCrop>false</ScaleCrop>
  <LinksUpToDate>false</LinksUpToDate>
  <CharactersWithSpaces>2562</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2022-12-23T08:57:00Z</dcterms:created>
  <dc:creator>小雷今天也要努力</dc:creator>
  <cp:lastModifiedBy>sunyihui</cp:lastModifiedBy>
  <dcterms:modified xsi:type="dcterms:W3CDTF">2026-01-30T02:40:24Z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ICV">
    <vt:lpwstr>89F5BE7D54B94902B82F8F2774FFAC29</vt:lpwstr>
  </property>
  <property fmtid="{D5CDD505-2E9C-101B-9397-08002B2CF9AE}" pid="4" name="KSOTemplateDocerSaveRecord">
    <vt:lpwstr>eyJoZGlkIjoiNWIyZjBhZjYzNzRlMGYxMWMzYjFiMzNmNDA1NTA0MDYiLCJ1c2VySWQiOiIxNzE0MTY0NjM4In0=</vt:lpwstr>
  </property>
</Properties>
</file>